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93085">
      <w:pPr>
        <w:spacing w:before="720"/>
      </w:pPr>
      <w:r>
        <w:rPr>
          <w:rFonts w:ascii="等线" w:hAnsi="等线" w:eastAsia="等线"/>
          <w:b/>
          <w:color w:val="1B998B"/>
          <w:sz w:val="24"/>
        </w:rPr>
        <w:t>初赛提交材料③</w:t>
      </w:r>
    </w:p>
    <w:p w14:paraId="23EBC1D2">
      <w:pPr>
        <w:spacing w:before="160" w:after="80"/>
      </w:pPr>
      <w:r>
        <w:rPr>
          <w:rFonts w:ascii="等线" w:hAnsi="等线" w:eastAsia="等线"/>
          <w:b/>
          <w:color w:val="0B4F6C"/>
          <w:sz w:val="56"/>
        </w:rPr>
        <w:t>基于期权波动率曲面与智能体的</w:t>
      </w:r>
      <w:r>
        <w:rPr>
          <w:rFonts w:ascii="等线" w:hAnsi="等线" w:eastAsia="等线"/>
          <w:b/>
          <w:color w:val="0B4F6C"/>
          <w:sz w:val="56"/>
        </w:rPr>
        <w:br w:type="textWrapping"/>
      </w:r>
      <w:r>
        <w:rPr>
          <w:rFonts w:ascii="等线" w:hAnsi="等线" w:eastAsia="等线"/>
          <w:b/>
          <w:color w:val="0B4F6C"/>
          <w:sz w:val="56"/>
        </w:rPr>
        <w:t>量化风控预警系统</w:t>
      </w:r>
    </w:p>
    <w:p w14:paraId="4E97CE7B">
      <w:pPr>
        <w:spacing w:after="480"/>
      </w:pPr>
      <w:r>
        <w:rPr>
          <w:rFonts w:ascii="等线" w:hAnsi="等线" w:eastAsia="等线"/>
          <w:b/>
          <w:color w:val="1976A3"/>
          <w:sz w:val="36"/>
        </w:rPr>
        <w:t>OptionRiskAgent 技术文档</w:t>
      </w:r>
    </w:p>
    <w:p w14:paraId="6805D99F">
      <w:pPr>
        <w:spacing w:after="0"/>
        <w:jc w:val="center"/>
      </w:pPr>
      <w:r>
        <w:drawing>
          <wp:inline distT="0" distB="0" distL="114300" distR="114300">
            <wp:extent cx="5577840" cy="2400935"/>
            <wp:effectExtent l="0" t="0" r="1016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0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752B">
      <w:pPr>
        <w:spacing w:before="360" w:after="60"/>
      </w:pPr>
      <w:r>
        <w:rPr>
          <w:rFonts w:ascii="等线" w:hAnsi="等线" w:eastAsia="等线"/>
          <w:b/>
          <w:color w:val="22313F"/>
          <w:sz w:val="26"/>
        </w:rPr>
        <w:t>参赛团队：曲面观策</w:t>
      </w:r>
    </w:p>
    <w:p w14:paraId="544E4C29">
      <w:r>
        <w:rPr>
          <w:rFonts w:ascii="等线" w:hAnsi="等线" w:eastAsia="等线"/>
          <w:color w:val="5A6B78"/>
          <w:sz w:val="21"/>
        </w:rPr>
        <w:t>交付范围：问题一 + 问题二，统一由一个 OptionRiskAgent 完成</w:t>
      </w:r>
    </w:p>
    <w:p w14:paraId="0F5CC210">
      <w:r>
        <w:rPr>
          <w:rFonts w:ascii="等线" w:hAnsi="等线" w:eastAsia="等线"/>
          <w:color w:val="5A6B78"/>
          <w:sz w:val="21"/>
        </w:rPr>
        <w:t>版本日期：2026年8月31日</w:t>
      </w:r>
    </w:p>
    <w:p w14:paraId="3BE24D8C">
      <w:r>
        <w:br w:type="page"/>
      </w:r>
    </w:p>
    <w:p w14:paraId="24CD83A2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1  执行摘要</w:t>
      </w:r>
    </w:p>
    <w:p w14:paraId="15027ACB">
      <w:pPr>
        <w:spacing w:after="200"/>
      </w:pPr>
      <w:r>
        <w:rPr>
          <w:rFonts w:ascii="等线" w:hAnsi="等线" w:eastAsia="等线"/>
          <w:color w:val="5A6B78"/>
          <w:sz w:val="18"/>
        </w:rPr>
        <w:t>先给结论，再说明技术路径与证据</w:t>
      </w:r>
    </w:p>
    <w:tbl>
      <w:tblPr>
        <w:tblStyle w:val="32"/>
        <w:tblW w:w="92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43A81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shd w:val="clear" w:color="auto" w:fill="EDF4F7"/>
          </w:tcPr>
          <w:p w14:paraId="7FEB51B8">
            <w:pPr>
              <w:spacing w:after="20"/>
            </w:pPr>
            <w:r>
              <w:rPr>
                <w:rFonts w:ascii="等线" w:hAnsi="等线" w:eastAsia="等线"/>
                <w:b/>
                <w:color w:val="1B998B"/>
                <w:sz w:val="20"/>
              </w:rPr>
              <w:t xml:space="preserve">项目结论  </w:t>
            </w:r>
            <w:r>
              <w:rPr>
                <w:rFonts w:ascii="等线" w:hAnsi="等线" w:eastAsia="等线"/>
                <w:color w:val="22313F"/>
                <w:sz w:val="19"/>
              </w:rPr>
              <w:t>系统以一个业务Agent贯通问题一与问题二：读取真实品种与有效时点，构造IV/Greeks曲面，提取12项风险证据，输出0—3级动态预警，并以四层知识图谱给出可追溯解释。</w:t>
            </w:r>
          </w:p>
        </w:tc>
      </w:tr>
    </w:tbl>
    <w:p w14:paraId="2C0C4B16"/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304"/>
        <w:gridCol w:w="2304"/>
        <w:gridCol w:w="2376"/>
      </w:tblGrid>
      <w:tr w14:paraId="7AD9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1B998B"/>
            <w:vAlign w:val="center"/>
          </w:tcPr>
          <w:p w14:paraId="30F6D97D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覆盖品种</w:t>
            </w:r>
          </w:p>
        </w:tc>
        <w:tc>
          <w:tcPr>
            <w:tcW w:w="2304" w:type="dxa"/>
            <w:shd w:val="clear" w:color="auto" w:fill="1B998B"/>
            <w:vAlign w:val="center"/>
          </w:tcPr>
          <w:p w14:paraId="0A640B95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端到端通过</w:t>
            </w:r>
          </w:p>
        </w:tc>
        <w:tc>
          <w:tcPr>
            <w:tcW w:w="2304" w:type="dxa"/>
            <w:shd w:val="clear" w:color="auto" w:fill="1B998B"/>
            <w:vAlign w:val="center"/>
          </w:tcPr>
          <w:p w14:paraId="48B47FB8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失败</w:t>
            </w:r>
          </w:p>
        </w:tc>
        <w:tc>
          <w:tcPr>
            <w:tcW w:w="2376" w:type="dxa"/>
            <w:shd w:val="clear" w:color="auto" w:fill="1B998B"/>
            <w:vAlign w:val="center"/>
          </w:tcPr>
          <w:p w14:paraId="77390FA4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业务Agent</w:t>
            </w:r>
          </w:p>
        </w:tc>
      </w:tr>
      <w:tr w14:paraId="3457D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1849A805">
            <w:pPr>
              <w:spacing w:after="0" w:line="252" w:lineRule="auto"/>
              <w:jc w:val="center"/>
            </w:pPr>
            <w:r>
              <w:rPr>
                <w:rFonts w:ascii="等线" w:hAnsi="等线" w:eastAsia="等线"/>
                <w:b/>
                <w:color w:val="0B4F6C"/>
                <w:sz w:val="26"/>
              </w:rPr>
              <w:t>35</w:t>
            </w:r>
          </w:p>
        </w:tc>
        <w:tc>
          <w:tcPr>
            <w:tcW w:w="2304" w:type="dxa"/>
            <w:vAlign w:val="center"/>
          </w:tcPr>
          <w:p w14:paraId="4731763C">
            <w:pPr>
              <w:spacing w:after="0" w:line="252" w:lineRule="auto"/>
              <w:jc w:val="center"/>
            </w:pPr>
            <w:r>
              <w:rPr>
                <w:rFonts w:ascii="等线" w:hAnsi="等线" w:eastAsia="等线"/>
                <w:b/>
                <w:color w:val="0B4F6C"/>
                <w:sz w:val="26"/>
              </w:rPr>
              <w:t>35 / 35</w:t>
            </w:r>
          </w:p>
        </w:tc>
        <w:tc>
          <w:tcPr>
            <w:tcW w:w="2304" w:type="dxa"/>
            <w:vAlign w:val="center"/>
          </w:tcPr>
          <w:p w14:paraId="54F8A8A7">
            <w:pPr>
              <w:spacing w:after="0" w:line="252" w:lineRule="auto"/>
              <w:jc w:val="center"/>
            </w:pPr>
            <w:r>
              <w:rPr>
                <w:rFonts w:ascii="等线" w:hAnsi="等线" w:eastAsia="等线"/>
                <w:b/>
                <w:color w:val="0B4F6C"/>
                <w:sz w:val="26"/>
              </w:rPr>
              <w:t>0</w:t>
            </w:r>
          </w:p>
        </w:tc>
        <w:tc>
          <w:tcPr>
            <w:tcW w:w="2376" w:type="dxa"/>
            <w:vAlign w:val="center"/>
          </w:tcPr>
          <w:p w14:paraId="212D0725">
            <w:pPr>
              <w:spacing w:after="0" w:line="252" w:lineRule="auto"/>
              <w:jc w:val="center"/>
            </w:pPr>
            <w:r>
              <w:rPr>
                <w:rFonts w:ascii="等线" w:hAnsi="等线" w:eastAsia="等线"/>
                <w:b/>
                <w:color w:val="0B4F6C"/>
                <w:sz w:val="26"/>
              </w:rPr>
              <w:t>1个</w:t>
            </w:r>
          </w:p>
        </w:tc>
      </w:tr>
    </w:tbl>
    <w:p w14:paraId="39C632FB">
      <w:pPr>
        <w:pStyle w:val="4"/>
      </w:pPr>
      <w:r>
        <w:t>1.1 项目解决什么问题</w:t>
      </w:r>
    </w:p>
    <w:p w14:paraId="3AEF17BC">
      <w:pPr>
        <w:keepLines w:val="0"/>
      </w:pPr>
      <w:r>
        <w:rPr>
          <w:rFonts w:ascii="等线" w:hAnsi="等线" w:eastAsia="等线"/>
          <w:color w:val="22313F"/>
          <w:sz w:val="21"/>
        </w:rPr>
        <w:t>期权风险并不只体现在单个合约价格。风险通常先在不同执行价、不同期限的隐含波动率结构中表现出来，并进一步通过Gamma、Vega等非线性敏感度集中传导。传统表格监控难以同时回答“当前发生了什么、是否异常、为何预警、证据能否复核”。本项目把这些环节编排为一次可审计的Agent分析。</w:t>
      </w:r>
    </w:p>
    <w:p w14:paraId="4FE6D8B3">
      <w:pPr>
        <w:pStyle w:val="4"/>
      </w:pPr>
      <w:r>
        <w:t>1.2 最终用户体验</w:t>
      </w:r>
    </w:p>
    <w:p w14:paraId="30AC007D">
      <w:pPr>
        <w:pStyle w:val="16"/>
      </w:pPr>
      <w:r>
        <w:rPr>
          <w:rFonts w:ascii="等线" w:hAnsi="等线" w:eastAsia="等线"/>
          <w:color w:val="22313F"/>
          <w:sz w:val="20"/>
        </w:rPr>
        <w:t>第一步：从数据源实际发现的品种下拉框中选择品种；</w:t>
      </w:r>
    </w:p>
    <w:p w14:paraId="37C8D708">
      <w:pPr>
        <w:pStyle w:val="16"/>
      </w:pPr>
      <w:r>
        <w:rPr>
          <w:rFonts w:ascii="等线" w:hAnsi="等线" w:eastAsia="等线"/>
          <w:color w:val="22313F"/>
          <w:sz w:val="20"/>
        </w:rPr>
        <w:t>第二步：时间下拉框自动联动，只显示该品种可形成曲面且具备严格历史阈值的有效时点；</w:t>
      </w:r>
    </w:p>
    <w:p w14:paraId="02E768C6">
      <w:pPr>
        <w:pStyle w:val="16"/>
      </w:pPr>
      <w:r>
        <w:rPr>
          <w:rFonts w:ascii="等线" w:hAnsi="等线" w:eastAsia="等线"/>
          <w:color w:val="22313F"/>
          <w:sz w:val="20"/>
        </w:rPr>
        <w:t>第三步：点击“开始风险分析”，一次返回预警、曲面、特征、时间轴、回测与知识图谱。</w:t>
      </w:r>
    </w:p>
    <w:p w14:paraId="1A647F20">
      <w:pPr>
        <w:pStyle w:val="4"/>
      </w:pPr>
      <w:r>
        <w:t>1.3 关键技术取舍</w:t>
      </w:r>
    </w:p>
    <w:p w14:paraId="3F00E7D2">
      <w:pPr>
        <w:keepLines w:val="0"/>
      </w:pPr>
      <w:r>
        <w:rPr>
          <w:rFonts w:ascii="等线" w:hAnsi="等线" w:eastAsia="等线"/>
          <w:color w:val="22313F"/>
          <w:sz w:val="21"/>
        </w:rPr>
        <w:t>曲面拟合以总方差而非直接IV为对象；优先整体SSVI，失败后才按Raw-SVI、PCHIP、线性的可靠性次序降级，并允许明确输出“不可用”。问题二不增加第二个Agent，也不开放自由文本问答，而是让NetworkX图谱对问题一的既有结论做确定性、可追溯解释。</w:t>
      </w:r>
    </w:p>
    <w:p w14:paraId="2E333237">
      <w:r>
        <w:br w:type="page"/>
      </w:r>
    </w:p>
    <w:p w14:paraId="43D4D76E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2  赛题要求与实现对应</w:t>
      </w:r>
    </w:p>
    <w:p w14:paraId="4D0ABE91">
      <w:pPr>
        <w:spacing w:after="200"/>
      </w:pPr>
      <w:r>
        <w:rPr>
          <w:rFonts w:ascii="等线" w:hAnsi="等线" w:eastAsia="等线"/>
          <w:color w:val="5A6B78"/>
          <w:sz w:val="18"/>
        </w:rPr>
        <w:t>确保每项提交内容都能在系统中找到功能、证据和边界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232"/>
        <w:gridCol w:w="3672"/>
        <w:gridCol w:w="2376"/>
      </w:tblGrid>
      <w:tr w14:paraId="06CFD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08" w:type="dxa"/>
            <w:shd w:val="clear" w:color="auto" w:fill="0B4F6C"/>
            <w:vAlign w:val="center"/>
          </w:tcPr>
          <w:p w14:paraId="75324AF5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范围</w:t>
            </w:r>
          </w:p>
        </w:tc>
        <w:tc>
          <w:tcPr>
            <w:tcW w:w="2232" w:type="dxa"/>
            <w:shd w:val="clear" w:color="auto" w:fill="0B4F6C"/>
            <w:vAlign w:val="center"/>
          </w:tcPr>
          <w:p w14:paraId="2492F109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赛题要求</w:t>
            </w:r>
          </w:p>
        </w:tc>
        <w:tc>
          <w:tcPr>
            <w:tcW w:w="3672" w:type="dxa"/>
            <w:shd w:val="clear" w:color="auto" w:fill="0B4F6C"/>
            <w:vAlign w:val="center"/>
          </w:tcPr>
          <w:p w14:paraId="3315C39F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实现方式</w:t>
            </w:r>
          </w:p>
        </w:tc>
        <w:tc>
          <w:tcPr>
            <w:tcW w:w="2376" w:type="dxa"/>
            <w:shd w:val="clear" w:color="auto" w:fill="0B4F6C"/>
            <w:vAlign w:val="center"/>
          </w:tcPr>
          <w:p w14:paraId="486453AB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评委可查位置</w:t>
            </w:r>
          </w:p>
        </w:tc>
      </w:tr>
      <w:tr w14:paraId="3DF9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3D74401D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问题一</w:t>
            </w:r>
          </w:p>
        </w:tc>
        <w:tc>
          <w:tcPr>
            <w:tcW w:w="2232" w:type="dxa"/>
            <w:vAlign w:val="center"/>
          </w:tcPr>
          <w:p w14:paraId="499D392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读取波动率曲面及Greeks数据</w:t>
            </w:r>
          </w:p>
        </w:tc>
        <w:tc>
          <w:tcPr>
            <w:tcW w:w="3672" w:type="dxa"/>
            <w:vAlign w:val="center"/>
          </w:tcPr>
          <w:p w14:paraId="7F1C670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总方差IV曲面；Delta/Gamma/Vega/Theta独立网格</w:t>
            </w:r>
          </w:p>
        </w:tc>
        <w:tc>
          <w:tcPr>
            <w:tcW w:w="2376" w:type="dxa"/>
            <w:vAlign w:val="center"/>
          </w:tcPr>
          <w:p w14:paraId="7241427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六页签中的“IV与Greeks曲面”</w:t>
            </w:r>
          </w:p>
        </w:tc>
      </w:tr>
      <w:tr w14:paraId="58DB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7FAFB"/>
            <w:vAlign w:val="center"/>
          </w:tcPr>
          <w:p w14:paraId="692E74A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问题一</w:t>
            </w:r>
          </w:p>
        </w:tc>
        <w:tc>
          <w:tcPr>
            <w:tcW w:w="2232" w:type="dxa"/>
            <w:shd w:val="clear" w:color="auto" w:fill="F7FAFB"/>
            <w:vAlign w:val="center"/>
          </w:tcPr>
          <w:p w14:paraId="0C3148A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提取风险特征</w:t>
            </w:r>
          </w:p>
        </w:tc>
        <w:tc>
          <w:tcPr>
            <w:tcW w:w="3672" w:type="dxa"/>
            <w:shd w:val="clear" w:color="auto" w:fill="F7FAFB"/>
            <w:vAlign w:val="center"/>
          </w:tcPr>
          <w:p w14:paraId="14B28BA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5组、12项证据；当前值、历史阈值、压力倍数、变化率</w:t>
            </w:r>
          </w:p>
        </w:tc>
        <w:tc>
          <w:tcPr>
            <w:tcW w:w="2376" w:type="dxa"/>
            <w:shd w:val="clear" w:color="auto" w:fill="F7FAFB"/>
            <w:vAlign w:val="center"/>
          </w:tcPr>
          <w:p w14:paraId="1414D0B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“风险特征”页与结果JSON</w:t>
            </w:r>
          </w:p>
        </w:tc>
      </w:tr>
      <w:tr w14:paraId="0122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494FA01D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问题一</w:t>
            </w:r>
          </w:p>
        </w:tc>
        <w:tc>
          <w:tcPr>
            <w:tcW w:w="2232" w:type="dxa"/>
            <w:vAlign w:val="center"/>
          </w:tcPr>
          <w:p w14:paraId="18D99DA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动态输出0—3级预警</w:t>
            </w:r>
          </w:p>
        </w:tc>
        <w:tc>
          <w:tcPr>
            <w:tcW w:w="3672" w:type="dxa"/>
            <w:vAlign w:val="center"/>
          </w:tcPr>
          <w:p w14:paraId="1E2CEB7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预注册动态状态机，含持续性、冷却和触发原因</w:t>
            </w:r>
          </w:p>
        </w:tc>
        <w:tc>
          <w:tcPr>
            <w:tcW w:w="2376" w:type="dxa"/>
            <w:vAlign w:val="center"/>
          </w:tcPr>
          <w:p w14:paraId="64A8DBC4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“Agent决策”与“预警时间轴”</w:t>
            </w:r>
          </w:p>
        </w:tc>
      </w:tr>
      <w:tr w14:paraId="360B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7FAFB"/>
            <w:vAlign w:val="center"/>
          </w:tcPr>
          <w:p w14:paraId="37BDDE8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问题一</w:t>
            </w:r>
          </w:p>
        </w:tc>
        <w:tc>
          <w:tcPr>
            <w:tcW w:w="2232" w:type="dxa"/>
            <w:shd w:val="clear" w:color="auto" w:fill="F7FAFB"/>
            <w:vAlign w:val="center"/>
          </w:tcPr>
          <w:p w14:paraId="7785067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自适应/可解释（可选）</w:t>
            </w:r>
          </w:p>
        </w:tc>
        <w:tc>
          <w:tcPr>
            <w:tcW w:w="3672" w:type="dxa"/>
            <w:shd w:val="clear" w:color="auto" w:fill="F7FAFB"/>
            <w:vAlign w:val="center"/>
          </w:tcPr>
          <w:p w14:paraId="478AD5EA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阈值来自严格过去历史；同时保存策略版本与参数哈希</w:t>
            </w:r>
          </w:p>
        </w:tc>
        <w:tc>
          <w:tcPr>
            <w:tcW w:w="2376" w:type="dxa"/>
            <w:shd w:val="clear" w:color="auto" w:fill="F7FAFB"/>
            <w:vAlign w:val="center"/>
          </w:tcPr>
          <w:p w14:paraId="2D284B2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policy_version、policy_parameter_hash</w:t>
            </w:r>
          </w:p>
        </w:tc>
      </w:tr>
      <w:tr w14:paraId="6195D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69296D4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问题二</w:t>
            </w:r>
          </w:p>
        </w:tc>
        <w:tc>
          <w:tcPr>
            <w:tcW w:w="2232" w:type="dxa"/>
            <w:vAlign w:val="center"/>
          </w:tcPr>
          <w:p w14:paraId="76C0C15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在问题一基础上构建知识图谱</w:t>
            </w:r>
          </w:p>
        </w:tc>
        <w:tc>
          <w:tcPr>
            <w:tcW w:w="3672" w:type="dxa"/>
            <w:vAlign w:val="center"/>
          </w:tcPr>
          <w:p w14:paraId="1B7DB3B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NetworkX四层图：Evidence→Anomaly→Mechanism→Conclusion</w:t>
            </w:r>
          </w:p>
        </w:tc>
        <w:tc>
          <w:tcPr>
            <w:tcW w:w="2376" w:type="dxa"/>
            <w:vAlign w:val="center"/>
          </w:tcPr>
          <w:p w14:paraId="4E74D7B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“风险知识图谱”页</w:t>
            </w:r>
          </w:p>
        </w:tc>
      </w:tr>
      <w:tr w14:paraId="7688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7FAFB"/>
            <w:vAlign w:val="center"/>
          </w:tcPr>
          <w:p w14:paraId="0093FC4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问题二</w:t>
            </w:r>
          </w:p>
        </w:tc>
        <w:tc>
          <w:tcPr>
            <w:tcW w:w="2232" w:type="dxa"/>
            <w:shd w:val="clear" w:color="auto" w:fill="F7FAFB"/>
            <w:vAlign w:val="center"/>
          </w:tcPr>
          <w:p w14:paraId="2865FF2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知识推理和查询</w:t>
            </w:r>
          </w:p>
        </w:tc>
        <w:tc>
          <w:tcPr>
            <w:tcW w:w="3672" w:type="dxa"/>
            <w:shd w:val="clear" w:color="auto" w:fill="F7FAFB"/>
            <w:vAlign w:val="center"/>
          </w:tcPr>
          <w:p w14:paraId="0C75782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固定预设查询、路径发现、五段解释、完整节点/边审计</w:t>
            </w:r>
          </w:p>
        </w:tc>
        <w:tc>
          <w:tcPr>
            <w:tcW w:w="2376" w:type="dxa"/>
            <w:shd w:val="clear" w:color="auto" w:fill="F7FAFB"/>
            <w:vAlign w:val="center"/>
          </w:tcPr>
          <w:p w14:paraId="4F798BE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查询服务、CLI、Notebook与验收报告</w:t>
            </w:r>
          </w:p>
        </w:tc>
      </w:tr>
      <w:tr w14:paraId="345B8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6CC500E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交付</w:t>
            </w:r>
          </w:p>
        </w:tc>
        <w:tc>
          <w:tcPr>
            <w:tcW w:w="2232" w:type="dxa"/>
            <w:vAlign w:val="center"/>
          </w:tcPr>
          <w:p w14:paraId="45B67C1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可运行成果、技术文档</w:t>
            </w:r>
          </w:p>
        </w:tc>
        <w:tc>
          <w:tcPr>
            <w:tcW w:w="3672" w:type="dxa"/>
            <w:vAlign w:val="center"/>
          </w:tcPr>
          <w:p w14:paraId="643234F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源码、安装声明、脚本、Notebook、HTML证据、本文档</w:t>
            </w:r>
          </w:p>
        </w:tc>
        <w:tc>
          <w:tcPr>
            <w:tcW w:w="2376" w:type="dxa"/>
            <w:vAlign w:val="center"/>
          </w:tcPr>
          <w:p w14:paraId="44459D0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提交ZIP + DOCX/PDF</w:t>
            </w:r>
          </w:p>
        </w:tc>
      </w:tr>
    </w:tbl>
    <w:p w14:paraId="28C96FCC">
      <w:pPr>
        <w:pStyle w:val="4"/>
      </w:pPr>
      <w:r>
        <w:t>2.1 统一Agent原则</w:t>
      </w:r>
    </w:p>
    <w:p w14:paraId="36E6B82F">
      <w:pPr>
        <w:keepLines w:val="0"/>
      </w:pPr>
      <w:r>
        <w:rPr>
          <w:rFonts w:ascii="等线" w:hAnsi="等线" w:eastAsia="等线"/>
          <w:color w:val="22313F"/>
          <w:sz w:val="21"/>
        </w:rPr>
        <w:t>公开业务入口只有OptionRiskAgent。GraphQueryService只是读取Agent结果的只读查询工具，不是另一个Agent；知识图谱既不重新计算预警，也不把解释结果反向写回风险等级。这一设计减少系统耦合，同时使问题二建立在问题一的真实证据之上。</w:t>
      </w:r>
    </w:p>
    <w:p w14:paraId="4AFAFDC8">
      <w:pPr>
        <w:pStyle w:val="4"/>
      </w:pPr>
      <w:r>
        <w:t>2.2 输出形式</w:t>
      </w:r>
    </w:p>
    <w:p w14:paraId="065B4505">
      <w:pPr>
        <w:keepLines w:val="0"/>
      </w:pPr>
      <w:r>
        <w:rPr>
          <w:rFonts w:ascii="等线" w:hAnsi="等线" w:eastAsia="等线"/>
          <w:color w:val="22313F"/>
          <w:sz w:val="21"/>
        </w:rPr>
        <w:t>每次分析的可见输出包括：当前0—3级状态、风险压力、1—3条触发原因、IV与四类Greeks曲面、12项特征、严格历史时间轴、离线回测摘要、四层图谱、固定查询答案与完整路径审计。程序化输出同时保留拟合与规则元数据，便于复现。</w:t>
      </w:r>
    </w:p>
    <w:p w14:paraId="5582F8BD">
      <w:r>
        <w:br w:type="page"/>
      </w:r>
    </w:p>
    <w:p w14:paraId="5A15408B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3  总体架构与数据治理</w:t>
      </w:r>
    </w:p>
    <w:p w14:paraId="124DB0C8">
      <w:pPr>
        <w:spacing w:after="200"/>
      </w:pPr>
      <w:r>
        <w:rPr>
          <w:rFonts w:ascii="等线" w:hAnsi="等线" w:eastAsia="等线"/>
          <w:color w:val="5A6B78"/>
          <w:sz w:val="18"/>
        </w:rPr>
        <w:t>一个Agent、两层能力、贯穿全链路的审计</w:t>
      </w:r>
    </w:p>
    <w:p w14:paraId="36F161C1">
      <w:pPr>
        <w:spacing w:after="0"/>
        <w:jc w:val="center"/>
      </w:pPr>
      <w:r>
        <w:drawing>
          <wp:inline distT="0" distB="0" distL="114300" distR="114300">
            <wp:extent cx="5806440" cy="2499360"/>
            <wp:effectExtent l="0" t="0" r="1016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9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C79B">
      <w:pPr>
        <w:pStyle w:val="15"/>
        <w:spacing w:after="120"/>
        <w:jc w:val="center"/>
      </w:pPr>
      <w:r>
        <w:rPr>
          <w:rFonts w:ascii="等线" w:hAnsi="等线" w:eastAsia="等线"/>
          <w:color w:val="5A6B78"/>
          <w:sz w:val="17"/>
        </w:rPr>
        <w:t>图1  OptionRiskAgent总体架构。资料来源：项目源码与正式运行流程。</w:t>
      </w:r>
    </w:p>
    <w:p w14:paraId="25FDCC41">
      <w:pPr>
        <w:pStyle w:val="4"/>
      </w:pPr>
      <w:r>
        <w:t>3.1 数据入口</w:t>
      </w:r>
    </w:p>
    <w:p w14:paraId="77B7656B">
      <w:pPr>
        <w:keepLines w:val="0"/>
      </w:pPr>
      <w:r>
        <w:rPr>
          <w:rFonts w:ascii="等线" w:hAnsi="等线" w:eastAsia="等线"/>
          <w:color w:val="22313F"/>
          <w:sz w:val="21"/>
        </w:rPr>
        <w:t>系统支持三类输入：RAR压缩包、ZIP压缩包以及已经解压的Parquet目录。压缩包模式调用运行环境的tar/bsdtar读取清单，并按品种安全提取到缓存；目录模式递归识别符合赛题结构的Parquet文件。数据路径在部署时指定，终端用户不需要填写。</w:t>
      </w:r>
    </w:p>
    <w:p w14:paraId="10CC9563">
      <w:pPr>
        <w:pStyle w:val="4"/>
      </w:pPr>
      <w:r>
        <w:t>3.2 严格历史窗口</w:t>
      </w:r>
    </w:p>
    <w:p w14:paraId="6D69E4A4">
      <w:pPr>
        <w:keepLines w:val="0"/>
      </w:pPr>
      <w:r>
        <w:rPr>
          <w:rFonts w:ascii="等线" w:hAnsi="等线" w:eastAsia="等线"/>
          <w:color w:val="22313F"/>
          <w:sz w:val="21"/>
        </w:rPr>
        <w:t>时间目录仅暴露具备至少96个严格更早合格15分钟时点的记录。动态阈值、状态机与时间轴都不得读取所选时点之后的数据。问题二进一步执行“追加未来月份后重放同一历史时点”的测试，既有节点、边、路径、查询与解释必须保持不变。</w:t>
      </w:r>
    </w:p>
    <w:p w14:paraId="42E8A910">
      <w:pPr>
        <w:pStyle w:val="4"/>
      </w:pPr>
      <w:r>
        <w:t>3.3 缓存与可复现性</w:t>
      </w:r>
    </w:p>
    <w:p w14:paraId="1FEC2508">
      <w:pPr>
        <w:keepLines w:val="0"/>
      </w:pPr>
      <w:r>
        <w:rPr>
          <w:rFonts w:ascii="等线" w:hAnsi="等线" w:eastAsia="等线"/>
          <w:color w:val="22313F"/>
          <w:sz w:val="21"/>
        </w:rPr>
        <w:t>缓存键包含数据源指纹、完整配置、历史窗口和策略身份；单时点结果使用版本化压缩JSON而非可执行pickle。提取暂存、成员清单、Parquet footer、完成标记与原子发布共同防止半写缓存被误认为成功结果。</w:t>
      </w:r>
    </w:p>
    <w:tbl>
      <w:tblPr>
        <w:tblStyle w:val="32"/>
        <w:tblW w:w="92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40170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shd w:val="clear" w:color="auto" w:fill="FFF5E9"/>
          </w:tcPr>
          <w:p w14:paraId="6A06CD0E">
            <w:pPr>
              <w:spacing w:after="20"/>
            </w:pPr>
            <w:r>
              <w:rPr>
                <w:rFonts w:ascii="等线" w:hAnsi="等线" w:eastAsia="等线"/>
                <w:b/>
                <w:color w:val="F4A261"/>
                <w:sz w:val="20"/>
              </w:rPr>
              <w:t xml:space="preserve">设计边界  </w:t>
            </w:r>
            <w:r>
              <w:rPr>
                <w:rFonts w:ascii="等线" w:hAnsi="等线" w:eastAsia="等线"/>
                <w:color w:val="22313F"/>
                <w:sz w:val="19"/>
              </w:rPr>
              <w:t>提交包不内置约7.2GB比赛源数据。原始数据独立放置，Agent通过--archive-path或--data-dir读取；这不影响代码可运行性与评委复核。</w:t>
            </w:r>
          </w:p>
        </w:tc>
      </w:tr>
    </w:tbl>
    <w:p w14:paraId="4A88241A">
      <w:r>
        <w:br w:type="page"/>
      </w:r>
    </w:p>
    <w:p w14:paraId="0A64FC0F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4  问题一：总方差曲面拟合</w:t>
      </w:r>
    </w:p>
    <w:p w14:paraId="60774213">
      <w:pPr>
        <w:spacing w:after="200"/>
      </w:pPr>
      <w:r>
        <w:rPr>
          <w:rFonts w:ascii="等线" w:hAnsi="等线" w:eastAsia="等线"/>
          <w:color w:val="5A6B78"/>
          <w:sz w:val="18"/>
        </w:rPr>
        <w:t>核心变量、数学形式与分级降级策略</w:t>
      </w:r>
    </w:p>
    <w:tbl>
      <w:tblPr>
        <w:tblStyle w:val="32"/>
        <w:tblW w:w="92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66E73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shd w:val="clear" w:color="auto" w:fill="EDF4F7"/>
          </w:tcPr>
          <w:p w14:paraId="40ECB873">
            <w:pPr>
              <w:spacing w:after="20"/>
            </w:pPr>
            <w:r>
              <w:rPr>
                <w:rFonts w:ascii="等线" w:hAnsi="等线" w:eastAsia="等线"/>
                <w:b/>
                <w:color w:val="1B998B"/>
                <w:sz w:val="20"/>
              </w:rPr>
              <w:t xml:space="preserve">拟合对象  </w:t>
            </w:r>
            <w:r>
              <w:rPr>
                <w:rFonts w:ascii="等线" w:hAnsi="等线" w:eastAsia="等线"/>
                <w:color w:val="22313F"/>
                <w:sz w:val="19"/>
              </w:rPr>
              <w:t>w(k,T)=IV²T，k=ln(K/F)。总方差在期限方向更适合表达累积不确定性，也便于进行日历一致性检查。</w:t>
            </w:r>
          </w:p>
        </w:tc>
      </w:tr>
    </w:tbl>
    <w:p w14:paraId="18C82359">
      <w:pPr>
        <w:pStyle w:val="4"/>
      </w:pPr>
      <w:r>
        <w:t>4.1 为什么不直接对IV做普通线性插值</w:t>
      </w:r>
    </w:p>
    <w:p w14:paraId="745B5E10">
      <w:pPr>
        <w:keepLines w:val="0"/>
      </w:pPr>
      <w:r>
        <w:rPr>
          <w:rFonts w:ascii="等线" w:hAnsi="等线" w:eastAsia="等线"/>
          <w:color w:val="22313F"/>
          <w:sz w:val="21"/>
        </w:rPr>
        <w:t>直接对IV逐点连线虽然简单，但容易在执行价方向产生折点、在期限方向破坏总方差单调关系，也难以用统一参数描述偏斜与微笑。总方差参数化把曲面几何与期权无套利条件联系起来，能在拟合精度和风险解释之间取得更好的平衡。</w:t>
      </w:r>
    </w:p>
    <w:p w14:paraId="18D6CC12">
      <w:pPr>
        <w:pStyle w:val="4"/>
      </w:pPr>
      <w:r>
        <w:t>4.2 SSVI整体拟合</w:t>
      </w:r>
    </w:p>
    <w:p w14:paraId="22EBAB59">
      <w:pPr>
        <w:keepLines w:val="0"/>
      </w:pPr>
      <w:r>
        <w:rPr>
          <w:rFonts w:ascii="等线" w:hAnsi="等线" w:eastAsia="等线"/>
          <w:color w:val="22313F"/>
          <w:sz w:val="21"/>
        </w:rPr>
        <w:t>同一时刻存在多个期限时，优先用SSVI整体拟合。其典型形式为：</w:t>
      </w:r>
    </w:p>
    <w:p w14:paraId="410021F5">
      <w:pPr>
        <w:spacing w:after="0"/>
        <w:jc w:val="center"/>
        <w:rPr>
          <w:rFonts w:hint="default"/>
          <w:lang w:val="en-US"/>
        </w:rPr>
      </w:pPr>
      <m:oMathPara>
        <m:oMath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eastAsia="zh-CN" w:bidi="ar-SA"/>
            </w:rPr>
            <m:t>w(k,</m:t>
          </m:r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bidi="ar-SA"/>
            </w:rPr>
            <m:t>θ</m:t>
          </m:r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eastAsia="zh-CN" w:bidi="ar-SA"/>
            </w:rPr>
            <m:t>)=</m:t>
          </m:r>
          <m:f>
            <m:fPr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i/>
                  <w:color w:val="22313F"/>
                  <w:sz w:val="21"/>
                  <w:szCs w:val="22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22313F"/>
                  <w:sz w:val="21"/>
                  <w:szCs w:val="22"/>
                  <w:lang w:val="en-US" w:bidi="ar-SA"/>
                </w:rPr>
                <m:t>θ</m:t>
              </m:r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i/>
                  <w:color w:val="22313F"/>
                  <w:sz w:val="21"/>
                  <w:szCs w:val="22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color w:val="22313F"/>
                  <w:sz w:val="21"/>
                  <w:szCs w:val="22"/>
                  <w:lang w:val="en-US" w:eastAsia="zh-CN" w:bidi="ar-SA"/>
                </w:rPr>
                <m:t>2</m:t>
              </m:r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i/>
                  <w:color w:val="22313F"/>
                  <w:sz w:val="21"/>
                  <w:szCs w:val="22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eastAsia="zh-CN" w:bidi="ar-SA"/>
            </w:rPr>
            <m:t>{1+</m:t>
          </m:r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bidi="ar-SA"/>
            </w:rPr>
            <m:t>ρφ</m:t>
          </m:r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eastAsia="zh-CN" w:bidi="ar-SA"/>
            </w:rPr>
            <m:t>(</m:t>
          </m:r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bidi="ar-SA"/>
            </w:rPr>
            <m:t>θ</m:t>
          </m:r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eastAsia="zh-CN" w:bidi="ar-SA"/>
            </w:rPr>
            <m:t>)k+</m:t>
          </m:r>
          <m:rad>
            <m:radPr>
              <m:degHide m:val="1"/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i/>
                  <w:color w:val="22313F"/>
                  <w:sz w:val="21"/>
                  <w:szCs w:val="22"/>
                  <w:lang w:val="en-US" w:eastAsia="zh-CN" w:bidi="ar-SA"/>
                </w:rPr>
              </m:ctrlPr>
            </m:radPr>
            <m:deg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i/>
                  <w:color w:val="22313F"/>
                  <w:sz w:val="21"/>
                  <w:szCs w:val="22"/>
                  <w:lang w:val="en-US" w:eastAsia="zh-CN" w:bidi="ar-SA"/>
                </w:rPr>
              </m:ctrlPr>
            </m:deg>
            <m:e>
              <m:sSup>
                <m:sSupPr>
                  <m:ctrlPr>
                    <m:rPr/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eastAsia="zh-CN" w:bidi="ar-SA"/>
                    </w:rPr>
                    <m:t>[</m:t>
                  </m:r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bidi="ar-SA"/>
                    </w:rPr>
                    <m:t>φ</m:t>
                  </m:r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eastAsia="zh-CN" w:bidi="ar-SA"/>
                    </w:rPr>
                    <m:t>(</m:t>
                  </m:r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bidi="ar-SA"/>
                    </w:rPr>
                    <m:t>θ</m:t>
                  </m:r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eastAsia="zh-CN" w:bidi="ar-SA"/>
                    </w:rPr>
                    <m:t>)+</m:t>
                  </m:r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bidi="ar-SA"/>
                    </w:rPr>
                    <m:t>ρ</m:t>
                  </m:r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eastAsia="zh-CN" w:bidi="ar-SA"/>
                    </w:rPr>
                    <m:t>]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theme="minorBidi"/>
                  <w:color w:val="22313F"/>
                  <w:sz w:val="21"/>
                  <w:szCs w:val="22"/>
                  <w:lang w:val="en-US" w:eastAsia="zh-CN" w:bidi="ar-SA"/>
                </w:rPr>
                <m:t>+1−</m:t>
              </m:r>
              <m:sSup>
                <m:sSupPr>
                  <m:ctrlPr>
                    <m:rPr/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bidi="ar-SA"/>
                    </w:rPr>
                    <m:t>ρ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sup>
              </m:sSup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i/>
                  <w:color w:val="22313F"/>
                  <w:sz w:val="21"/>
                  <w:szCs w:val="22"/>
                  <w:lang w:val="en-US" w:eastAsia="zh-CN" w:bidi="ar-SA"/>
                </w:rPr>
              </m:ctrlPr>
            </m:e>
          </m:rad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eastAsia="zh-CN" w:bidi="ar-SA"/>
            </w:rPr>
            <m:t>}</m:t>
          </m:r>
        </m:oMath>
      </m:oMathPara>
    </w:p>
    <w:p w14:paraId="1FC1EF72">
      <w:pPr>
        <w:keepLines w:val="0"/>
      </w:pPr>
      <w:r>
        <w:rPr>
          <w:rFonts w:ascii="等线" w:hAnsi="等线" w:eastAsia="等线"/>
          <w:color w:val="22313F"/>
          <w:sz w:val="21"/>
        </w:rPr>
        <w:t>其中，θ表示平值总方差，ρ控制偏斜方向，φ(θ)控制微笑曲率。整体拟合共享结构，天然比各期限互不相关地拟合更利于期限一致性。</w:t>
      </w:r>
    </w:p>
    <w:p w14:paraId="15DCE6F1">
      <w:pPr>
        <w:pStyle w:val="4"/>
      </w:pPr>
      <w:r>
        <w:t>4.3 Raw-SVI逐期限回退</w:t>
      </w:r>
      <w:bookmarkStart w:id="0" w:name="_GoBack"/>
      <w:bookmarkEnd w:id="0"/>
    </w:p>
    <w:p w14:paraId="3F3C7130">
      <w:pPr>
        <w:keepLines w:val="0"/>
      </w:pPr>
      <w:r>
        <w:rPr>
          <w:rFonts w:ascii="等线" w:hAnsi="等线" w:eastAsia="等线"/>
          <w:color w:val="22313F"/>
          <w:sz w:val="21"/>
        </w:rPr>
        <w:t>若SSVI优化不收敛或检查失败，则逐期限使用Raw-SVI：</w:t>
      </w:r>
    </w:p>
    <w:p w14:paraId="7EB5409E">
      <w:pPr>
        <w:spacing w:after="0"/>
        <w:jc w:val="center"/>
        <w:rPr>
          <w:rFonts w:hint="default"/>
          <w:lang w:val="en-US"/>
        </w:rPr>
      </w:pPr>
      <m:oMathPara>
        <m:oMath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eastAsia="zh-CN" w:bidi="ar-SA"/>
            </w:rPr>
            <m:t>w(k)=a+b[</m:t>
          </m:r>
          <m:r>
            <m:rPr/>
            <w:rPr>
              <w:rFonts w:ascii="Cambria Math" w:hAnsi="Cambria Math" w:cstheme="minorBidi"/>
              <w:color w:val="22313F"/>
              <w:sz w:val="21"/>
              <w:szCs w:val="22"/>
              <w:lang w:val="en-US" w:bidi="ar-SA"/>
            </w:rPr>
            <m:t>ρ</m:t>
          </m:r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eastAsia="zh-CN" w:bidi="ar-SA"/>
            </w:rPr>
            <m:t>(k−m)+</m:t>
          </m:r>
          <m:rad>
            <m:radPr>
              <m:degHide m:val="1"/>
              <m:ctrlPr>
                <m:rPr/>
                <w:rPr>
                  <w:rFonts w:hint="default" w:ascii="Cambria Math" w:hAnsi="Cambria Math" w:cstheme="minorBidi"/>
                  <w:i/>
                  <w:color w:val="22313F"/>
                  <w:sz w:val="21"/>
                  <w:szCs w:val="22"/>
                  <w:lang w:val="en-US" w:eastAsia="zh-CN" w:bidi="ar-SA"/>
                </w:rPr>
              </m:ctrlPr>
            </m:radPr>
            <m:deg>
              <m:ctrlPr>
                <m:rPr/>
                <w:rPr>
                  <w:rFonts w:hint="default" w:ascii="Cambria Math" w:hAnsi="Cambria Math" w:cstheme="minorBidi"/>
                  <w:i/>
                  <w:color w:val="22313F"/>
                  <w:sz w:val="21"/>
                  <w:szCs w:val="22"/>
                  <w:lang w:val="en-US" w:eastAsia="zh-CN" w:bidi="ar-SA"/>
                </w:rPr>
              </m:ctrlPr>
            </m:deg>
            <m:e>
              <m:sSup>
                <m:sSupPr>
                  <m:ctrlPr>
                    <m:rPr/>
                    <w:rPr>
                      <w:rFonts w:hint="default" w:ascii="Cambria Math" w:hAnsi="Cambria Math" w:cstheme="minorBidi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eastAsia="zh-CN" w:bidi="ar-SA"/>
                    </w:rPr>
                    <m:t>(k−m)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theme="minorBidi"/>
                  <w:color w:val="22313F"/>
                  <w:sz w:val="21"/>
                  <w:szCs w:val="22"/>
                  <w:lang w:val="en-US" w:eastAsia="zh-CN" w:bidi="ar-SA"/>
                </w:rPr>
                <m:t>+</m:t>
              </m:r>
              <m:sSup>
                <m:sSupPr>
                  <m:ctrlPr>
                    <m:rPr/>
                    <w:rPr>
                      <w:rFonts w:hint="default" w:ascii="Cambria Math" w:hAnsi="Cambria Math" w:cstheme="minorBidi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ascii="Cambria Math" w:hAnsi="Cambria Math" w:cstheme="minorBidi"/>
                      <w:color w:val="22313F"/>
                      <w:sz w:val="21"/>
                      <w:szCs w:val="22"/>
                      <w:lang w:val="en-US" w:bidi="ar-SA"/>
                    </w:rPr>
                    <m:t>σ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theme="minorBidi"/>
                      <w:color w:val="22313F"/>
                      <w:sz w:val="21"/>
                      <w:szCs w:val="22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color w:val="22313F"/>
                      <w:sz w:val="21"/>
                      <w:szCs w:val="22"/>
                      <w:lang w:val="en-US" w:eastAsia="zh-CN" w:bidi="ar-SA"/>
                    </w:rPr>
                  </m:ctrlPr>
                </m:sup>
              </m:sSup>
              <m:ctrlPr>
                <m:rPr/>
                <w:rPr>
                  <w:rFonts w:hint="default" w:ascii="Cambria Math" w:hAnsi="Cambria Math" w:cstheme="minorBidi"/>
                  <w:i/>
                  <w:color w:val="22313F"/>
                  <w:sz w:val="21"/>
                  <w:szCs w:val="22"/>
                  <w:lang w:val="en-US" w:eastAsia="zh-CN" w:bidi="ar-SA"/>
                </w:rPr>
              </m:ctrlPr>
            </m:e>
          </m:rad>
          <m:r>
            <m:rPr/>
            <w:rPr>
              <w:rFonts w:hint="default" w:ascii="Cambria Math" w:hAnsi="Cambria Math" w:cstheme="minorBidi"/>
              <w:color w:val="22313F"/>
              <w:sz w:val="21"/>
              <w:szCs w:val="22"/>
              <w:lang w:val="en-US" w:eastAsia="zh-CN" w:bidi="ar-SA"/>
            </w:rPr>
            <m:t>]</m:t>
          </m:r>
        </m:oMath>
      </m:oMathPara>
    </w:p>
    <w:p w14:paraId="2D7B7C71">
      <w:pPr>
        <w:keepLines w:val="0"/>
      </w:pPr>
      <w:r>
        <w:rPr>
          <w:rFonts w:ascii="等线" w:hAnsi="等线" w:eastAsia="等线"/>
          <w:color w:val="22313F"/>
          <w:sz w:val="21"/>
        </w:rPr>
        <w:t>实现对b、ρ、σ等参数施加可行域约束，并在生成曲线后重新检查正总方差、价格单调性和凸性，不能仅以优化器返回success作为成功依据。</w:t>
      </w:r>
    </w:p>
    <w:p w14:paraId="243296E7">
      <w:pPr>
        <w:pStyle w:val="4"/>
      </w:pPr>
      <w:r>
        <w:t>4.4 非参数插值与终止条件</w:t>
      </w:r>
    </w:p>
    <w:p w14:paraId="0755CE6C">
      <w:pPr>
        <w:keepLines w:val="0"/>
      </w:pPr>
      <w:r>
        <w:rPr>
          <w:rFonts w:ascii="等线" w:hAnsi="等线" w:eastAsia="等线"/>
          <w:color w:val="22313F"/>
          <w:sz w:val="21"/>
        </w:rPr>
        <w:t>若SVI仍失败且有效节点不少于4个，使用PCHIP在总方差空间内插值；若仅有2—3个节点，才使用总方差线性插值。两者仅在原始节点覆盖范围内使用，默认不外推。节点不足、曲线异常跳跃或无套利检查不可靠时，直接标记该期限不可用。</w:t>
      </w:r>
    </w:p>
    <w:p w14:paraId="1D8F9CDD">
      <w:r>
        <w:br w:type="page"/>
      </w:r>
    </w:p>
    <w:p w14:paraId="4ECB8EE4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5  拟合流程、检查与审计</w:t>
      </w:r>
    </w:p>
    <w:p w14:paraId="1C405E5F">
      <w:pPr>
        <w:spacing w:after="200"/>
      </w:pPr>
      <w:r>
        <w:rPr>
          <w:rFonts w:ascii="等线" w:hAnsi="等线" w:eastAsia="等线"/>
          <w:color w:val="5A6B78"/>
          <w:sz w:val="18"/>
        </w:rPr>
        <w:t>“得到一条线”不是终点，可靠性门禁决定曲线能否进入正式曲面</w:t>
      </w:r>
    </w:p>
    <w:p w14:paraId="42C44713">
      <w:pPr>
        <w:spacing w:after="0"/>
        <w:jc w:val="center"/>
      </w:pPr>
      <w:r>
        <w:drawing>
          <wp:inline distT="0" distB="0" distL="114300" distR="114300">
            <wp:extent cx="5806440" cy="2691130"/>
            <wp:effectExtent l="0" t="0" r="1016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4FA2">
      <w:pPr>
        <w:pStyle w:val="15"/>
        <w:spacing w:after="120"/>
        <w:jc w:val="center"/>
      </w:pPr>
      <w:r>
        <w:rPr>
          <w:rFonts w:ascii="等线" w:hAnsi="等线" w:eastAsia="等线"/>
          <w:color w:val="5A6B78"/>
          <w:sz w:val="17"/>
        </w:rPr>
        <w:t>图2  总方差拟合降级链与质量门禁。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528"/>
        <w:gridCol w:w="3960"/>
      </w:tblGrid>
      <w:tr w14:paraId="37D2F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0B4F6C"/>
            <w:vAlign w:val="center"/>
          </w:tcPr>
          <w:p w14:paraId="6A9E2117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检查项</w:t>
            </w:r>
          </w:p>
        </w:tc>
        <w:tc>
          <w:tcPr>
            <w:tcW w:w="3528" w:type="dxa"/>
            <w:shd w:val="clear" w:color="auto" w:fill="0B4F6C"/>
            <w:vAlign w:val="center"/>
          </w:tcPr>
          <w:p w14:paraId="24FD6B73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判定对象</w:t>
            </w:r>
          </w:p>
        </w:tc>
        <w:tc>
          <w:tcPr>
            <w:tcW w:w="3960" w:type="dxa"/>
            <w:shd w:val="clear" w:color="auto" w:fill="0B4F6C"/>
            <w:vAlign w:val="center"/>
          </w:tcPr>
          <w:p w14:paraId="2048E31E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处理原则</w:t>
            </w:r>
          </w:p>
        </w:tc>
      </w:tr>
      <w:tr w14:paraId="6B675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FA22AE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总方差为正</w:t>
            </w:r>
          </w:p>
        </w:tc>
        <w:tc>
          <w:tcPr>
            <w:tcW w:w="3528" w:type="dxa"/>
            <w:vAlign w:val="center"/>
          </w:tcPr>
          <w:p w14:paraId="0EBE047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所有有效网格点w(k,T)&gt;0</w:t>
            </w:r>
          </w:p>
        </w:tc>
        <w:tc>
          <w:tcPr>
            <w:tcW w:w="3960" w:type="dxa"/>
            <w:vAlign w:val="center"/>
          </w:tcPr>
          <w:p w14:paraId="7D6A82D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否则IV无实数意义，曲线失败</w:t>
            </w:r>
          </w:p>
        </w:tc>
      </w:tr>
      <w:tr w14:paraId="281A2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7FAFB"/>
            <w:vAlign w:val="center"/>
          </w:tcPr>
          <w:p w14:paraId="3BBEAA04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执行价单调</w:t>
            </w:r>
          </w:p>
        </w:tc>
        <w:tc>
          <w:tcPr>
            <w:tcW w:w="3528" w:type="dxa"/>
            <w:shd w:val="clear" w:color="auto" w:fill="F7FAFB"/>
            <w:vAlign w:val="center"/>
          </w:tcPr>
          <w:p w14:paraId="5E9C30CA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同期限看涨价格随K单调下降</w:t>
            </w:r>
          </w:p>
        </w:tc>
        <w:tc>
          <w:tcPr>
            <w:tcW w:w="3960" w:type="dxa"/>
            <w:shd w:val="clear" w:color="auto" w:fill="F7FAFB"/>
            <w:vAlign w:val="center"/>
          </w:tcPr>
          <w:p w14:paraId="406334D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违反时存在静态价格几何不一致</w:t>
            </w:r>
          </w:p>
        </w:tc>
      </w:tr>
      <w:tr w14:paraId="3ED10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B738E6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执行价凸性</w:t>
            </w:r>
          </w:p>
        </w:tc>
        <w:tc>
          <w:tcPr>
            <w:tcW w:w="3528" w:type="dxa"/>
            <w:vAlign w:val="center"/>
          </w:tcPr>
          <w:p w14:paraId="0B11364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看涨价格关于K保持凸性</w:t>
            </w:r>
          </w:p>
        </w:tc>
        <w:tc>
          <w:tcPr>
            <w:tcW w:w="3960" w:type="dxa"/>
            <w:vAlign w:val="center"/>
          </w:tcPr>
          <w:p w14:paraId="7BA99B7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防止蝶式几何违反</w:t>
            </w:r>
          </w:p>
        </w:tc>
      </w:tr>
      <w:tr w14:paraId="3952B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7FAFB"/>
            <w:vAlign w:val="center"/>
          </w:tcPr>
          <w:p w14:paraId="761E12C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日历一致性</w:t>
            </w:r>
          </w:p>
        </w:tc>
        <w:tc>
          <w:tcPr>
            <w:tcW w:w="3528" w:type="dxa"/>
            <w:shd w:val="clear" w:color="auto" w:fill="F7FAFB"/>
            <w:vAlign w:val="center"/>
          </w:tcPr>
          <w:p w14:paraId="18E3265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相同k下远期限总方差尽量不低于近期限</w:t>
            </w:r>
          </w:p>
        </w:tc>
        <w:tc>
          <w:tcPr>
            <w:tcW w:w="3960" w:type="dxa"/>
            <w:shd w:val="clear" w:color="auto" w:fill="F7FAFB"/>
            <w:vAlign w:val="center"/>
          </w:tcPr>
          <w:p w14:paraId="54194A5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优先在SSVI整体拟合中约束/检查</w:t>
            </w:r>
          </w:p>
        </w:tc>
      </w:tr>
      <w:tr w14:paraId="24C92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EEB2E7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异常跳跃</w:t>
            </w:r>
          </w:p>
        </w:tc>
        <w:tc>
          <w:tcPr>
            <w:tcW w:w="3528" w:type="dxa"/>
            <w:vAlign w:val="center"/>
          </w:tcPr>
          <w:p w14:paraId="2F14602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相邻网格不出现显著非经济性突变</w:t>
            </w:r>
          </w:p>
        </w:tc>
        <w:tc>
          <w:tcPr>
            <w:tcW w:w="3960" w:type="dxa"/>
            <w:vAlign w:val="center"/>
          </w:tcPr>
          <w:p w14:paraId="524B825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避免优化收敛但形状失真</w:t>
            </w:r>
          </w:p>
        </w:tc>
      </w:tr>
    </w:tbl>
    <w:p w14:paraId="2B3DA423">
      <w:pPr>
        <w:pStyle w:val="4"/>
      </w:pPr>
      <w:r>
        <w:t>5.1 审计字段</w:t>
      </w:r>
    </w:p>
    <w:p w14:paraId="289255DE">
      <w:pPr>
        <w:keepLines w:val="0"/>
      </w:pPr>
      <w:r>
        <w:rPr>
          <w:rFonts w:ascii="等线" w:hAnsi="等线" w:eastAsia="等线"/>
          <w:color w:val="22313F"/>
          <w:sz w:val="21"/>
        </w:rPr>
        <w:t>每次拟合尝试保存method、success、RMSE、node_count、arbitrage_checks与failure_reason；整体结果进一步记录policy_version、overall_status、usable_expiry_count和unusable_expiry_count。这样评委既能看到最终曲面，也能回答“为什么用了这一方法、前一种方法为什么失败”。</w:t>
      </w:r>
    </w:p>
    <w:p w14:paraId="070249D8">
      <w:pPr>
        <w:pStyle w:val="4"/>
      </w:pPr>
      <w:r>
        <w:t>5.2 从曲线到曲面</w:t>
      </w:r>
    </w:p>
    <w:p w14:paraId="31CB9616">
      <w:pPr>
        <w:keepLines w:val="0"/>
      </w:pPr>
      <w:r>
        <w:rPr>
          <w:rFonts w:ascii="等线" w:hAnsi="等线" w:eastAsia="等线"/>
          <w:color w:val="22313F"/>
          <w:sz w:val="21"/>
        </w:rPr>
        <w:t>每个到期日首先得到一条w(k,T)曲线。随后在统一的k网格上对各期限曲线求值，并仅在可用期限和允许覆盖区间内组成二维总方差网格；最后按IV(k,T)=√[w(k,T)/T]还原IV。期限曲线的集合就是曲面，SSVI则是在拟合阶段已经联合利用了这些期限。</w:t>
      </w:r>
    </w:p>
    <w:p w14:paraId="641182BF">
      <w:r>
        <w:br w:type="page"/>
      </w:r>
    </w:p>
    <w:p w14:paraId="3AD3A88E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6  真实曲面与Greeks输出</w:t>
      </w:r>
    </w:p>
    <w:p w14:paraId="378DC330">
      <w:pPr>
        <w:spacing w:after="200"/>
      </w:pPr>
      <w:r>
        <w:rPr>
          <w:rFonts w:ascii="等线" w:hAnsi="等线" w:eastAsia="等线"/>
          <w:color w:val="5A6B78"/>
          <w:sz w:val="18"/>
        </w:rPr>
        <w:t>面向评委的可视结果与面向模型的结构化网格并存</w:t>
      </w:r>
    </w:p>
    <w:p w14:paraId="0D1AD77B">
      <w:pPr>
        <w:spacing w:after="0"/>
        <w:jc w:val="center"/>
      </w:pPr>
      <w:r>
        <w:drawing>
          <wp:inline distT="0" distB="0" distL="114300" distR="114300">
            <wp:extent cx="5760720" cy="4759960"/>
            <wp:effectExtent l="0" t="0" r="508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595D">
      <w:pPr>
        <w:pStyle w:val="15"/>
        <w:spacing w:after="120"/>
        <w:jc w:val="center"/>
      </w:pPr>
      <w:r>
        <w:rPr>
          <w:rFonts w:ascii="等线" w:hAnsi="等线" w:eastAsia="等线"/>
          <w:color w:val="5A6B78"/>
          <w:sz w:val="17"/>
        </w:rPr>
        <w:t>图3  白银AG某有效缓存时点的正式IV曲面；横轴为对数价内外程度，纵轴为T，竖轴为IV。</w:t>
      </w:r>
    </w:p>
    <w:p w14:paraId="4968C881">
      <w:pPr>
        <w:pStyle w:val="4"/>
      </w:pPr>
      <w:r>
        <w:t>6.1 五张曲面</w:t>
      </w:r>
    </w:p>
    <w:p w14:paraId="6797A1E4">
      <w:pPr>
        <w:keepLines w:val="0"/>
      </w:pPr>
      <w:r>
        <w:rPr>
          <w:rFonts w:ascii="等线" w:hAnsi="等线" w:eastAsia="等线"/>
          <w:color w:val="22313F"/>
          <w:sz w:val="21"/>
        </w:rPr>
        <w:t>结果对象固定包含iv、delta、gamma、vega、theta五张曲面。IV使用总方差正式拟合网格；Greeks基于清洗后的期权节点在独立稳定网格上计算，并明确不伪装成SSVI/SVI拟合结果。界面同时提供IV三维曲面、热力图、逐期限曲线以及四类Greeks热力图。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3096"/>
        <w:gridCol w:w="5040"/>
      </w:tblGrid>
      <w:tr w14:paraId="2C175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0B4F6C"/>
            <w:vAlign w:val="center"/>
          </w:tcPr>
          <w:p w14:paraId="4C5A4A70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曲面</w:t>
            </w:r>
          </w:p>
        </w:tc>
        <w:tc>
          <w:tcPr>
            <w:tcW w:w="3096" w:type="dxa"/>
            <w:shd w:val="clear" w:color="auto" w:fill="0B4F6C"/>
            <w:vAlign w:val="center"/>
          </w:tcPr>
          <w:p w14:paraId="03636E49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含义</w:t>
            </w:r>
          </w:p>
        </w:tc>
        <w:tc>
          <w:tcPr>
            <w:tcW w:w="5040" w:type="dxa"/>
            <w:shd w:val="clear" w:color="auto" w:fill="0B4F6C"/>
            <w:vAlign w:val="center"/>
          </w:tcPr>
          <w:p w14:paraId="0637B55A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风险解读重点</w:t>
            </w:r>
          </w:p>
        </w:tc>
      </w:tr>
      <w:tr w14:paraId="31226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40D7E63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IV</w:t>
            </w:r>
          </w:p>
        </w:tc>
        <w:tc>
          <w:tcPr>
            <w:tcW w:w="3096" w:type="dxa"/>
            <w:vAlign w:val="center"/>
          </w:tcPr>
          <w:p w14:paraId="655D53B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市场对未来波动的定价</w:t>
            </w:r>
          </w:p>
        </w:tc>
        <w:tc>
          <w:tcPr>
            <w:tcW w:w="5040" w:type="dxa"/>
            <w:vAlign w:val="center"/>
          </w:tcPr>
          <w:p w14:paraId="36BF367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水平抬升、偏斜、期限倒挂、局部跳变</w:t>
            </w:r>
          </w:p>
        </w:tc>
      </w:tr>
      <w:tr w14:paraId="5BFB8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7FAFB"/>
            <w:vAlign w:val="center"/>
          </w:tcPr>
          <w:p w14:paraId="0561DF5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Delta</w:t>
            </w:r>
          </w:p>
        </w:tc>
        <w:tc>
          <w:tcPr>
            <w:tcW w:w="3096" w:type="dxa"/>
            <w:shd w:val="clear" w:color="auto" w:fill="F7FAFB"/>
            <w:vAlign w:val="center"/>
          </w:tcPr>
          <w:p w14:paraId="38303F5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价格对标的变化的一阶敏感度</w:t>
            </w:r>
          </w:p>
        </w:tc>
        <w:tc>
          <w:tcPr>
            <w:tcW w:w="5040" w:type="dxa"/>
            <w:shd w:val="clear" w:color="auto" w:fill="F7FAFB"/>
            <w:vAlign w:val="center"/>
          </w:tcPr>
          <w:p w14:paraId="7A6C88AD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方向性暴露结构与执行价分布</w:t>
            </w:r>
          </w:p>
        </w:tc>
      </w:tr>
      <w:tr w14:paraId="118DF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648478A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Gamma</w:t>
            </w:r>
          </w:p>
        </w:tc>
        <w:tc>
          <w:tcPr>
            <w:tcW w:w="3096" w:type="dxa"/>
            <w:vAlign w:val="center"/>
          </w:tcPr>
          <w:p w14:paraId="0CEC8BD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Delta对标的变化的敏感度</w:t>
            </w:r>
          </w:p>
        </w:tc>
        <w:tc>
          <w:tcPr>
            <w:tcW w:w="5040" w:type="dxa"/>
            <w:vAlign w:val="center"/>
          </w:tcPr>
          <w:p w14:paraId="181D900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非线性风险集中，短期限近平值通常更敏感</w:t>
            </w:r>
          </w:p>
        </w:tc>
      </w:tr>
      <w:tr w14:paraId="78FA0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7FAFB"/>
            <w:vAlign w:val="center"/>
          </w:tcPr>
          <w:p w14:paraId="0D16225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Vega</w:t>
            </w:r>
          </w:p>
        </w:tc>
        <w:tc>
          <w:tcPr>
            <w:tcW w:w="3096" w:type="dxa"/>
            <w:shd w:val="clear" w:color="auto" w:fill="F7FAFB"/>
            <w:vAlign w:val="center"/>
          </w:tcPr>
          <w:p w14:paraId="73D8E764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价格对隐含波动率变化的敏感度</w:t>
            </w:r>
          </w:p>
        </w:tc>
        <w:tc>
          <w:tcPr>
            <w:tcW w:w="5040" w:type="dxa"/>
            <w:shd w:val="clear" w:color="auto" w:fill="F7FAFB"/>
            <w:vAlign w:val="center"/>
          </w:tcPr>
          <w:p w14:paraId="2E18517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波动率重定价风险集中</w:t>
            </w:r>
          </w:p>
        </w:tc>
      </w:tr>
      <w:tr w14:paraId="3B39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4273B76A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Theta</w:t>
            </w:r>
          </w:p>
        </w:tc>
        <w:tc>
          <w:tcPr>
            <w:tcW w:w="3096" w:type="dxa"/>
            <w:vAlign w:val="center"/>
          </w:tcPr>
          <w:p w14:paraId="030009A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价格随时间流逝的敏感度</w:t>
            </w:r>
          </w:p>
        </w:tc>
        <w:tc>
          <w:tcPr>
            <w:tcW w:w="5040" w:type="dxa"/>
            <w:vAlign w:val="center"/>
          </w:tcPr>
          <w:p w14:paraId="704A40D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期限消耗结构与近端风险</w:t>
            </w:r>
          </w:p>
        </w:tc>
      </w:tr>
    </w:tbl>
    <w:tbl>
      <w:tblPr>
        <w:tblStyle w:val="32"/>
        <w:tblW w:w="92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1BA2A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shd w:val="clear" w:color="auto" w:fill="FFF5E9"/>
          </w:tcPr>
          <w:p w14:paraId="094CFEBA">
            <w:pPr>
              <w:spacing w:after="20"/>
            </w:pPr>
            <w:r>
              <w:rPr>
                <w:rFonts w:ascii="等线" w:hAnsi="等线" w:eastAsia="等线"/>
                <w:b/>
                <w:color w:val="F4A261"/>
                <w:sz w:val="20"/>
              </w:rPr>
              <w:t xml:space="preserve">注意  </w:t>
            </w:r>
            <w:r>
              <w:rPr>
                <w:rFonts w:ascii="等线" w:hAnsi="等线" w:eastAsia="等线"/>
                <w:color w:val="22313F"/>
                <w:sz w:val="19"/>
              </w:rPr>
              <w:t>曲面可视化不等于交易信号。Agent只报告风险状态与证据，不预测涨跌方向，也不提供建仓、减仓或套利建议。</w:t>
            </w:r>
          </w:p>
        </w:tc>
      </w:tr>
    </w:tbl>
    <w:p w14:paraId="0B17AAEF">
      <w:r>
        <w:br w:type="page"/>
      </w:r>
    </w:p>
    <w:p w14:paraId="7D67F6EB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7  风险特征与0—3级动态预警</w:t>
      </w:r>
    </w:p>
    <w:p w14:paraId="68E3B340">
      <w:pPr>
        <w:spacing w:after="200"/>
      </w:pPr>
      <w:r>
        <w:rPr>
          <w:rFonts w:ascii="等线" w:hAnsi="等线" w:eastAsia="等线"/>
          <w:color w:val="5A6B78"/>
          <w:sz w:val="18"/>
        </w:rPr>
        <w:t>五组特征覆盖曲面水平、期限、无套利、Greeks与质量</w:t>
      </w:r>
    </w:p>
    <w:p w14:paraId="4F5AE4DA">
      <w:pPr>
        <w:spacing w:after="0"/>
        <w:jc w:val="center"/>
      </w:pPr>
      <w:r>
        <w:drawing>
          <wp:inline distT="0" distB="0" distL="114300" distR="114300">
            <wp:extent cx="5806440" cy="2931160"/>
            <wp:effectExtent l="0" t="0" r="1016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7727">
      <w:pPr>
        <w:pStyle w:val="15"/>
        <w:spacing w:after="120"/>
        <w:jc w:val="center"/>
      </w:pPr>
      <w:r>
        <w:rPr>
          <w:rFonts w:ascii="等线" w:hAnsi="等线" w:eastAsia="等线"/>
          <w:color w:val="5A6B78"/>
          <w:sz w:val="17"/>
        </w:rPr>
        <w:t>图4  五组风险特征、12项证据与动态状态机的关系。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536"/>
        <w:gridCol w:w="3096"/>
      </w:tblGrid>
      <w:tr w14:paraId="5DDD0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shd w:val="clear" w:color="auto" w:fill="0B4F6C"/>
            <w:vAlign w:val="center"/>
          </w:tcPr>
          <w:p w14:paraId="4B308C83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风险组</w:t>
            </w:r>
          </w:p>
        </w:tc>
        <w:tc>
          <w:tcPr>
            <w:tcW w:w="4536" w:type="dxa"/>
            <w:shd w:val="clear" w:color="auto" w:fill="0B4F6C"/>
            <w:vAlign w:val="center"/>
          </w:tcPr>
          <w:p w14:paraId="08F4CFD9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正式证据</w:t>
            </w:r>
          </w:p>
        </w:tc>
        <w:tc>
          <w:tcPr>
            <w:tcW w:w="3096" w:type="dxa"/>
            <w:shd w:val="clear" w:color="auto" w:fill="0B4F6C"/>
            <w:vAlign w:val="center"/>
          </w:tcPr>
          <w:p w14:paraId="0C85717A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回答的问题</w:t>
            </w:r>
          </w:p>
        </w:tc>
      </w:tr>
      <w:tr w14:paraId="5E4C0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676849F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曲面水平与形态</w:t>
            </w:r>
          </w:p>
        </w:tc>
        <w:tc>
          <w:tcPr>
            <w:tcW w:w="4536" w:type="dxa"/>
            <w:vAlign w:val="center"/>
          </w:tcPr>
          <w:p w14:paraId="304E74A4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atm_iv；atm_iv_chg_4；max_local_iv_jump</w:t>
            </w:r>
          </w:p>
        </w:tc>
        <w:tc>
          <w:tcPr>
            <w:tcW w:w="3096" w:type="dxa"/>
            <w:vAlign w:val="center"/>
          </w:tcPr>
          <w:p w14:paraId="3EA898D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波动率水平、短时重定价速度、局部稳定性</w:t>
            </w:r>
          </w:p>
        </w:tc>
      </w:tr>
      <w:tr w14:paraId="5C1B5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F7FAFB"/>
            <w:vAlign w:val="center"/>
          </w:tcPr>
          <w:p w14:paraId="36AA1434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期限结构</w:t>
            </w:r>
          </w:p>
        </w:tc>
        <w:tc>
          <w:tcPr>
            <w:tcW w:w="4536" w:type="dxa"/>
            <w:shd w:val="clear" w:color="auto" w:fill="F7FAFB"/>
            <w:vAlign w:val="center"/>
          </w:tcPr>
          <w:p w14:paraId="404CBC0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term_inversion</w:t>
            </w:r>
          </w:p>
        </w:tc>
        <w:tc>
          <w:tcPr>
            <w:tcW w:w="3096" w:type="dxa"/>
            <w:shd w:val="clear" w:color="auto" w:fill="F7FAFB"/>
            <w:vAlign w:val="center"/>
          </w:tcPr>
          <w:p w14:paraId="29D70A1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近端压力是否高于远端</w:t>
            </w:r>
          </w:p>
        </w:tc>
      </w:tr>
      <w:tr w14:paraId="54FA9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20D9BD7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无套利风险</w:t>
            </w:r>
          </w:p>
        </w:tc>
        <w:tc>
          <w:tcPr>
            <w:tcW w:w="4536" w:type="dxa"/>
            <w:vAlign w:val="center"/>
          </w:tcPr>
          <w:p w14:paraId="28CBC54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convexity_violation_ratio；put_call_parity_p95_error；calendar_variance_violation_ratio</w:t>
            </w:r>
          </w:p>
        </w:tc>
        <w:tc>
          <w:tcPr>
            <w:tcW w:w="3096" w:type="dxa"/>
            <w:vAlign w:val="center"/>
          </w:tcPr>
          <w:p w14:paraId="501B256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定价几何与跨期限一致性</w:t>
            </w:r>
          </w:p>
        </w:tc>
      </w:tr>
      <w:tr w14:paraId="14D2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F7FAFB"/>
            <w:vAlign w:val="center"/>
          </w:tcPr>
          <w:p w14:paraId="7F505F9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Greeks集中风险</w:t>
            </w:r>
          </w:p>
        </w:tc>
        <w:tc>
          <w:tcPr>
            <w:tcW w:w="4536" w:type="dxa"/>
            <w:shd w:val="clear" w:color="auto" w:fill="F7FAFB"/>
            <w:vAlign w:val="center"/>
          </w:tcPr>
          <w:p w14:paraId="4F3939D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gamma_hhi；vega_hhi</w:t>
            </w:r>
          </w:p>
        </w:tc>
        <w:tc>
          <w:tcPr>
            <w:tcW w:w="3096" w:type="dxa"/>
            <w:shd w:val="clear" w:color="auto" w:fill="F7FAFB"/>
            <w:vAlign w:val="center"/>
          </w:tcPr>
          <w:p w14:paraId="18E8D99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非线性与波动率敏感度是否集中于少数合约</w:t>
            </w:r>
          </w:p>
        </w:tc>
      </w:tr>
      <w:tr w14:paraId="47668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2BE5280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质量与流动性</w:t>
            </w:r>
          </w:p>
        </w:tc>
        <w:tc>
          <w:tcPr>
            <w:tcW w:w="4536" w:type="dxa"/>
            <w:vAlign w:val="center"/>
          </w:tcPr>
          <w:p w14:paraId="0983C9B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zero_volume_share；iv_floor_share；coverage_shortfall</w:t>
            </w:r>
          </w:p>
        </w:tc>
        <w:tc>
          <w:tcPr>
            <w:tcW w:w="3096" w:type="dxa"/>
            <w:vAlign w:val="center"/>
          </w:tcPr>
          <w:p w14:paraId="2B5ED52A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5"/>
              </w:rPr>
              <w:t>数据可观测性和解释置信度</w:t>
            </w:r>
          </w:p>
        </w:tc>
      </w:tr>
    </w:tbl>
    <w:p w14:paraId="1F394C95">
      <w:pPr>
        <w:pStyle w:val="4"/>
      </w:pPr>
      <w:r>
        <w:t>7.1 动态阈值</w:t>
      </w:r>
    </w:p>
    <w:p w14:paraId="26211DEA">
      <w:pPr>
        <w:keepLines w:val="0"/>
      </w:pPr>
      <w:r>
        <w:rPr>
          <w:rFonts w:ascii="等线" w:hAnsi="等线" w:eastAsia="等线"/>
          <w:color w:val="22313F"/>
          <w:sz w:val="21"/>
        </w:rPr>
        <w:t>每项证据都保存当前值、严格历史阈值、压力倍数、变化率和状态。阈值随品种与时间自适应，但只能使用所选时点之前的合格记录；因此不同品种不必共享一个生硬的绝对阈值。</w:t>
      </w:r>
    </w:p>
    <w:p w14:paraId="7A05C7FD">
      <w:pPr>
        <w:pStyle w:val="4"/>
      </w:pPr>
      <w:r>
        <w:t>7.2 状态机</w:t>
      </w:r>
    </w:p>
    <w:p w14:paraId="54552E8B">
      <w:pPr>
        <w:keepLines w:val="0"/>
      </w:pPr>
      <w:r>
        <w:rPr>
          <w:rFonts w:ascii="等线" w:hAnsi="等线" w:eastAsia="等线"/>
          <w:color w:val="22313F"/>
          <w:sz w:val="21"/>
        </w:rPr>
        <w:t>等级含义为0无预警、1关注、2警告、3危险。状态机综合核心风险压力、多信号数量、持续性与冷却窗口：冷却只抑制重复通知，不降低正在持续的风险状态。质量与流动性证据可以进入总体观察分数和解释限制，但正式升级只由市场风险信号驱动。</w:t>
      </w:r>
    </w:p>
    <w:p w14:paraId="192305BA">
      <w:r>
        <w:br w:type="page"/>
      </w:r>
    </w:p>
    <w:p w14:paraId="67491B0F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8  问题二：四层风险知识图谱</w:t>
      </w:r>
    </w:p>
    <w:p w14:paraId="509C5EE4">
      <w:pPr>
        <w:spacing w:after="200"/>
      </w:pPr>
      <w:r>
        <w:rPr>
          <w:rFonts w:ascii="等线" w:hAnsi="等线" w:eastAsia="等线"/>
          <w:color w:val="5A6B78"/>
          <w:sz w:val="18"/>
        </w:rPr>
        <w:t>NetworkX事件中心图谱，把问题一结果组织为可追溯路径</w:t>
      </w:r>
    </w:p>
    <w:p w14:paraId="614456F2">
      <w:pPr>
        <w:spacing w:after="0"/>
        <w:jc w:val="center"/>
      </w:pPr>
      <w:r>
        <w:drawing>
          <wp:inline distT="0" distB="0" distL="114300" distR="114300">
            <wp:extent cx="5806440" cy="2835275"/>
            <wp:effectExtent l="0" t="0" r="1016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3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BCE3">
      <w:pPr>
        <w:pStyle w:val="15"/>
        <w:spacing w:after="120"/>
        <w:jc w:val="center"/>
      </w:pPr>
      <w:r>
        <w:rPr>
          <w:rFonts w:ascii="等线" w:hAnsi="等线" w:eastAsia="等线"/>
          <w:color w:val="5A6B78"/>
          <w:sz w:val="17"/>
        </w:rPr>
        <w:t>图5  Evidence→Anomaly→Mechanism→Conclusion四层传播链。</w:t>
      </w:r>
    </w:p>
    <w:p w14:paraId="639582E5">
      <w:pPr>
        <w:pStyle w:val="4"/>
      </w:pPr>
      <w:r>
        <w:t>8.1 四层的直观含义</w:t>
      </w:r>
    </w:p>
    <w:p w14:paraId="64C5836E">
      <w:pPr>
        <w:pStyle w:val="16"/>
      </w:pPr>
      <w:r>
        <w:rPr>
          <w:rFonts w:ascii="等线" w:hAnsi="等线" w:eastAsia="等线"/>
          <w:color w:val="22313F"/>
          <w:sz w:val="20"/>
        </w:rPr>
        <w:t>Evidence（证据）：保留问题一当前值、阈值、压力比、变化率、规则ID与来源时点，是图谱的事实根。</w:t>
      </w:r>
    </w:p>
    <w:p w14:paraId="214ACA96">
      <w:pPr>
        <w:pStyle w:val="16"/>
      </w:pPr>
      <w:r>
        <w:rPr>
          <w:rFonts w:ascii="等线" w:hAnsi="等线" w:eastAsia="等线"/>
          <w:color w:val="22313F"/>
          <w:sz w:val="20"/>
        </w:rPr>
        <w:t>Anomaly（异常）：把“接近阈值、超过阈值、约束违反”转成明确状态，不把连续数值直接写成结论。</w:t>
      </w:r>
    </w:p>
    <w:p w14:paraId="7611B671">
      <w:pPr>
        <w:pStyle w:val="16"/>
      </w:pPr>
      <w:r>
        <w:rPr>
          <w:rFonts w:ascii="等线" w:hAnsi="等线" w:eastAsia="等线"/>
          <w:color w:val="22313F"/>
          <w:sz w:val="20"/>
        </w:rPr>
        <w:t>Mechanism（机理）：说明风险可能通过何种方式传导，例如“波动率重定价加速”或“非线性敏感性集中”。</w:t>
      </w:r>
    </w:p>
    <w:p w14:paraId="47AA89A5">
      <w:pPr>
        <w:pStyle w:val="16"/>
      </w:pPr>
      <w:r>
        <w:rPr>
          <w:rFonts w:ascii="等线" w:hAnsi="等线" w:eastAsia="等线"/>
          <w:color w:val="22313F"/>
          <w:sz w:val="20"/>
        </w:rPr>
        <w:t>Conclusion（结论）：连接到风险后果、原有预警状态或置信度状态；不创建新的市场预警等级。</w:t>
      </w:r>
    </w:p>
    <w:p w14:paraId="69C4B545">
      <w:pPr>
        <w:pStyle w:val="4"/>
      </w:pPr>
      <w:r>
        <w:t>8.2 为什么保留四层</w:t>
      </w:r>
    </w:p>
    <w:p w14:paraId="4A2BDA7B">
      <w:pPr>
        <w:keepLines w:val="0"/>
      </w:pPr>
      <w:r>
        <w:rPr>
          <w:rFonts w:ascii="等线" w:hAnsi="等线" w:eastAsia="等线"/>
          <w:color w:val="22313F"/>
          <w:sz w:val="21"/>
        </w:rPr>
        <w:t>只有证据→结论会缺少解释链；无限扩层又会增加维护成本和伪因果风险。四层把事实、规则判断、作用机理和结论职责分离，路径长度固定，既便于NetworkX查询，也便于评委沿路径逐节点审计。Product与RiskSnapshot作为上下文节点存在，但不人为扩展业务传播层。</w:t>
      </w:r>
    </w:p>
    <w:p w14:paraId="6AF7AF6D">
      <w:pPr>
        <w:pStyle w:val="4"/>
      </w:pPr>
      <w:r>
        <w:t>8.3 边与安全语义</w:t>
      </w:r>
    </w:p>
    <w:p w14:paraId="0A9925BC">
      <w:pPr>
        <w:keepLines w:val="0"/>
      </w:pPr>
      <w:r>
        <w:rPr>
          <w:rFonts w:ascii="等线" w:hAnsi="等线" w:eastAsia="等线"/>
          <w:color w:val="22313F"/>
          <w:sz w:val="21"/>
        </w:rPr>
        <w:t>业务边来自注册表，包含NEAR_THRESHOLD、EXCEEDS、VIOLATES、SUPPORTS、MAY_AMPLIFY、MAY_LEAD_TO和REDUCES_CONFIDENCE。解释只使用“支持、可能导致、可能放大、降低置信度”等谨慎措辞，不把新闻、政策或宏观事件写成未经数据验证的确定原因。</w:t>
      </w:r>
    </w:p>
    <w:p w14:paraId="5D4202BA">
      <w:r>
        <w:br w:type="page"/>
      </w:r>
    </w:p>
    <w:p w14:paraId="7392E053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9  自动推理、固定查询与可解释输出</w:t>
      </w:r>
    </w:p>
    <w:p w14:paraId="5907A7DD">
      <w:pPr>
        <w:spacing w:after="200"/>
      </w:pPr>
      <w:r>
        <w:rPr>
          <w:rFonts w:ascii="等线" w:hAnsi="等线" w:eastAsia="等线"/>
          <w:color w:val="5A6B78"/>
          <w:sz w:val="18"/>
        </w:rPr>
        <w:t>自然语言负责讲清楚，参数与路径负责让评委复核</w:t>
      </w:r>
    </w:p>
    <w:p w14:paraId="20CB0744">
      <w:pPr>
        <w:pStyle w:val="4"/>
      </w:pPr>
      <w:r>
        <w:t>9.1 自动推理流程</w:t>
      </w:r>
    </w:p>
    <w:p w14:paraId="7684A0F9">
      <w:pPr>
        <w:keepLines w:val="0"/>
      </w:pPr>
      <w:r>
        <w:rPr>
          <w:rFonts w:ascii="等线" w:hAnsi="等线" w:eastAsia="等线"/>
          <w:color w:val="22313F"/>
          <w:sz w:val="21"/>
        </w:rPr>
        <w:t>图谱构建器把12项FeatureEvidence映射到注册规则，生成候选路径；推理器从规范图重新发现活动路径并排序；解释器再将前若干条路径组织成五段文本。每个解释句以path_id标记，系统检查该ID必须属于当前active_paths，防止仅靠拼接文本伪造证据链。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592"/>
        <w:gridCol w:w="5040"/>
      </w:tblGrid>
      <w:tr w14:paraId="355F5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shd w:val="clear" w:color="auto" w:fill="0B4F6C"/>
            <w:vAlign w:val="center"/>
          </w:tcPr>
          <w:p w14:paraId="70A3786B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预设查询</w:t>
            </w:r>
          </w:p>
        </w:tc>
        <w:tc>
          <w:tcPr>
            <w:tcW w:w="2592" w:type="dxa"/>
            <w:shd w:val="clear" w:color="auto" w:fill="0B4F6C"/>
            <w:vAlign w:val="center"/>
          </w:tcPr>
          <w:p w14:paraId="01340C73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接口</w:t>
            </w:r>
          </w:p>
        </w:tc>
        <w:tc>
          <w:tcPr>
            <w:tcW w:w="5040" w:type="dxa"/>
            <w:shd w:val="clear" w:color="auto" w:fill="0B4F6C"/>
            <w:vAlign w:val="center"/>
          </w:tcPr>
          <w:p w14:paraId="0555674C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自然语言含义</w:t>
            </w:r>
          </w:p>
        </w:tc>
      </w:tr>
      <w:tr w14:paraId="3999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060E799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根证据</w:t>
            </w:r>
          </w:p>
        </w:tc>
        <w:tc>
          <w:tcPr>
            <w:tcW w:w="2592" w:type="dxa"/>
            <w:vAlign w:val="center"/>
          </w:tcPr>
          <w:p w14:paraId="3EB20EE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root_evidence</w:t>
            </w:r>
          </w:p>
        </w:tc>
        <w:tc>
          <w:tcPr>
            <w:tcW w:w="5040" w:type="dxa"/>
            <w:vAlign w:val="center"/>
          </w:tcPr>
          <w:p w14:paraId="41FA720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哪些证据最接近或超过动态阈值？</w:t>
            </w:r>
          </w:p>
        </w:tc>
      </w:tr>
      <w:tr w14:paraId="0476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F7FAFB"/>
            <w:vAlign w:val="center"/>
          </w:tcPr>
          <w:p w14:paraId="16528E2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到预警路径</w:t>
            </w:r>
          </w:p>
        </w:tc>
        <w:tc>
          <w:tcPr>
            <w:tcW w:w="2592" w:type="dxa"/>
            <w:shd w:val="clear" w:color="auto" w:fill="F7FAFB"/>
            <w:vAlign w:val="center"/>
          </w:tcPr>
          <w:p w14:paraId="4D6E2DB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paths_to_alert</w:t>
            </w:r>
          </w:p>
        </w:tc>
        <w:tc>
          <w:tcPr>
            <w:tcW w:w="5040" w:type="dxa"/>
            <w:shd w:val="clear" w:color="auto" w:fill="F7FAFB"/>
            <w:vAlign w:val="center"/>
          </w:tcPr>
          <w:p w14:paraId="7C84F81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哪些路径支持当前0—3级状态？</w:t>
            </w:r>
          </w:p>
        </w:tc>
      </w:tr>
      <w:tr w14:paraId="1DD0F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6D4AF2F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可能后果</w:t>
            </w:r>
          </w:p>
        </w:tc>
        <w:tc>
          <w:tcPr>
            <w:tcW w:w="2592" w:type="dxa"/>
            <w:vAlign w:val="center"/>
          </w:tcPr>
          <w:p w14:paraId="0C1D9CB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possible_consequences</w:t>
            </w:r>
          </w:p>
        </w:tc>
        <w:tc>
          <w:tcPr>
            <w:tcW w:w="5040" w:type="dxa"/>
            <w:vAlign w:val="center"/>
          </w:tcPr>
          <w:p w14:paraId="5D40407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当前异常可能影响哪些风险后果？</w:t>
            </w:r>
          </w:p>
        </w:tc>
      </w:tr>
      <w:tr w14:paraId="04EE9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F7FAFB"/>
            <w:vAlign w:val="center"/>
          </w:tcPr>
          <w:p w14:paraId="33A032C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质量限制</w:t>
            </w:r>
          </w:p>
        </w:tc>
        <w:tc>
          <w:tcPr>
            <w:tcW w:w="2592" w:type="dxa"/>
            <w:shd w:val="clear" w:color="auto" w:fill="F7FAFB"/>
            <w:vAlign w:val="center"/>
          </w:tcPr>
          <w:p w14:paraId="0E3801A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quality_limitations</w:t>
            </w:r>
          </w:p>
        </w:tc>
        <w:tc>
          <w:tcPr>
            <w:tcW w:w="5040" w:type="dxa"/>
            <w:shd w:val="clear" w:color="auto" w:fill="F7FAFB"/>
            <w:vAlign w:val="center"/>
          </w:tcPr>
          <w:p w14:paraId="32A2D88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哪些证据降低了解释置信度？</w:t>
            </w:r>
          </w:p>
        </w:tc>
      </w:tr>
      <w:tr w14:paraId="4223F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65E4145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节点详情</w:t>
            </w:r>
          </w:p>
        </w:tc>
        <w:tc>
          <w:tcPr>
            <w:tcW w:w="2592" w:type="dxa"/>
            <w:vAlign w:val="center"/>
          </w:tcPr>
          <w:p w14:paraId="6D2FD3E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inspect_node</w:t>
            </w:r>
          </w:p>
        </w:tc>
        <w:tc>
          <w:tcPr>
            <w:tcW w:w="5040" w:type="dxa"/>
            <w:vAlign w:val="center"/>
          </w:tcPr>
          <w:p w14:paraId="78BC52F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该节点的数值、来源时点和规则是什么？</w:t>
            </w:r>
          </w:p>
        </w:tc>
      </w:tr>
      <w:tr w14:paraId="0A314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F7FAFB"/>
            <w:vAlign w:val="center"/>
          </w:tcPr>
          <w:p w14:paraId="2E6E0A1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异常路径</w:t>
            </w:r>
          </w:p>
        </w:tc>
        <w:tc>
          <w:tcPr>
            <w:tcW w:w="2592" w:type="dxa"/>
            <w:shd w:val="clear" w:color="auto" w:fill="F7FAFB"/>
            <w:vAlign w:val="center"/>
          </w:tcPr>
          <w:p w14:paraId="747DC77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paths_from_anomaly</w:t>
            </w:r>
          </w:p>
        </w:tc>
        <w:tc>
          <w:tcPr>
            <w:tcW w:w="5040" w:type="dxa"/>
            <w:shd w:val="clear" w:color="auto" w:fill="F7FAFB"/>
            <w:vAlign w:val="center"/>
          </w:tcPr>
          <w:p w14:paraId="68168D1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从指定异常出发能追溯到哪些结论？</w:t>
            </w:r>
          </w:p>
        </w:tc>
      </w:tr>
    </w:tbl>
    <w:p w14:paraId="75162355">
      <w:pPr>
        <w:pStyle w:val="4"/>
      </w:pPr>
      <w:r>
        <w:t>9.2 为什么审计区显示参数</w:t>
      </w:r>
    </w:p>
    <w:p w14:paraId="1BCACD43">
      <w:pPr>
        <w:keepLines w:val="0"/>
      </w:pPr>
      <w:r>
        <w:rPr>
          <w:rFonts w:ascii="等线" w:hAnsi="等线" w:eastAsia="等线"/>
          <w:color w:val="22313F"/>
          <w:sz w:val="21"/>
        </w:rPr>
        <w:t>自然语言解释与审计参数承担不同任务：自然语言帮助评委快速理解；参数区保留节点ID、path_id、当前值、阈值、压力倍数和source_timestamp，使结论可复核。若审计区也只写自然语言，评委无法确认句子是否对应真实节点。最终界面采用“上层自然语言结论 + 下层可展开原始审计”的双层呈现。</w:t>
      </w:r>
    </w:p>
    <w:p w14:paraId="6E8483D6">
      <w:pPr>
        <w:spacing w:after="0"/>
        <w:jc w:val="center"/>
      </w:pPr>
      <w:r>
        <w:drawing>
          <wp:inline distT="0" distB="0" distL="114300" distR="114300">
            <wp:extent cx="5715000" cy="16871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3565">
      <w:pPr>
        <w:pStyle w:val="15"/>
        <w:spacing w:after="120"/>
        <w:jc w:val="center"/>
      </w:pPr>
      <w:r>
        <w:rPr>
          <w:rFonts w:ascii="等线" w:hAnsi="等线" w:eastAsia="等线"/>
          <w:color w:val="5A6B78"/>
          <w:sz w:val="17"/>
        </w:rPr>
        <w:t>图6  固定预设查询与完整路径/节点/边审计界面示例。</w:t>
      </w:r>
    </w:p>
    <w:p w14:paraId="2FAD98A4">
      <w:r>
        <w:br w:type="page"/>
      </w:r>
    </w:p>
    <w:p w14:paraId="49F1C04A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10  Agent交互与操作流程</w:t>
      </w:r>
    </w:p>
    <w:p w14:paraId="2CC9E959">
      <w:pPr>
        <w:spacing w:after="200"/>
      </w:pPr>
      <w:r>
        <w:rPr>
          <w:rFonts w:ascii="等线" w:hAnsi="等线" w:eastAsia="等线"/>
          <w:color w:val="5A6B78"/>
          <w:sz w:val="18"/>
        </w:rPr>
        <w:t>用户只选择品种和时间，不接触路径、模型与阈值参数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800"/>
        <w:gridCol w:w="4032"/>
        <w:gridCol w:w="2664"/>
      </w:tblGrid>
      <w:tr w14:paraId="7D353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0B4F6C"/>
            <w:vAlign w:val="center"/>
          </w:tcPr>
          <w:p w14:paraId="7133D6C6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步骤</w:t>
            </w:r>
          </w:p>
        </w:tc>
        <w:tc>
          <w:tcPr>
            <w:tcW w:w="1800" w:type="dxa"/>
            <w:shd w:val="clear" w:color="auto" w:fill="0B4F6C"/>
            <w:vAlign w:val="center"/>
          </w:tcPr>
          <w:p w14:paraId="245A8ABA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用户动作</w:t>
            </w:r>
          </w:p>
        </w:tc>
        <w:tc>
          <w:tcPr>
            <w:tcW w:w="4032" w:type="dxa"/>
            <w:shd w:val="clear" w:color="auto" w:fill="0B4F6C"/>
            <w:vAlign w:val="center"/>
          </w:tcPr>
          <w:p w14:paraId="132ACB62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系统行为</w:t>
            </w:r>
          </w:p>
        </w:tc>
        <w:tc>
          <w:tcPr>
            <w:tcW w:w="2664" w:type="dxa"/>
            <w:shd w:val="clear" w:color="auto" w:fill="0B4F6C"/>
            <w:vAlign w:val="center"/>
          </w:tcPr>
          <w:p w14:paraId="5BA1FD97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控制点</w:t>
            </w:r>
          </w:p>
        </w:tc>
      </w:tr>
      <w:tr w14:paraId="369F6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6157217D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1</w:t>
            </w:r>
          </w:p>
        </w:tc>
        <w:tc>
          <w:tcPr>
            <w:tcW w:w="1800" w:type="dxa"/>
            <w:vAlign w:val="center"/>
          </w:tcPr>
          <w:p w14:paraId="4369130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选择品种</w:t>
            </w:r>
          </w:p>
        </w:tc>
        <w:tc>
          <w:tcPr>
            <w:tcW w:w="4032" w:type="dxa"/>
            <w:vAlign w:val="center"/>
          </w:tcPr>
          <w:p w14:paraId="1AE7643A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下拉框来自真实数据扫描；当前共识别35个品种</w:t>
            </w:r>
          </w:p>
        </w:tc>
        <w:tc>
          <w:tcPr>
            <w:tcW w:w="2664" w:type="dxa"/>
            <w:vAlign w:val="center"/>
          </w:tcPr>
          <w:p w14:paraId="78DE2EC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避免输入不存在的品种</w:t>
            </w:r>
          </w:p>
        </w:tc>
      </w:tr>
      <w:tr w14:paraId="3FCF5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7FAFB"/>
            <w:vAlign w:val="center"/>
          </w:tcPr>
          <w:p w14:paraId="3712F3B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2</w:t>
            </w:r>
          </w:p>
        </w:tc>
        <w:tc>
          <w:tcPr>
            <w:tcW w:w="1800" w:type="dxa"/>
            <w:shd w:val="clear" w:color="auto" w:fill="F7FAFB"/>
            <w:vAlign w:val="center"/>
          </w:tcPr>
          <w:p w14:paraId="525F9AC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选择时间点</w:t>
            </w:r>
          </w:p>
        </w:tc>
        <w:tc>
          <w:tcPr>
            <w:tcW w:w="4032" w:type="dxa"/>
            <w:shd w:val="clear" w:color="auto" w:fill="F7FAFB"/>
            <w:vAlign w:val="center"/>
          </w:tcPr>
          <w:p w14:paraId="0579220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品种切换后自动刷新，仅显示可分析时点</w:t>
            </w:r>
          </w:p>
        </w:tc>
        <w:tc>
          <w:tcPr>
            <w:tcW w:w="2664" w:type="dxa"/>
            <w:shd w:val="clear" w:color="auto" w:fill="F7FAFB"/>
            <w:vAlign w:val="center"/>
          </w:tcPr>
          <w:p w14:paraId="27C7CFA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避免跨品种时间误用</w:t>
            </w:r>
          </w:p>
        </w:tc>
      </w:tr>
      <w:tr w14:paraId="11ED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6154CDD4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3</w:t>
            </w:r>
          </w:p>
        </w:tc>
        <w:tc>
          <w:tcPr>
            <w:tcW w:w="1800" w:type="dxa"/>
            <w:vAlign w:val="center"/>
          </w:tcPr>
          <w:p w14:paraId="1E84B8A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开始风险分析</w:t>
            </w:r>
          </w:p>
        </w:tc>
        <w:tc>
          <w:tcPr>
            <w:tcW w:w="4032" w:type="dxa"/>
            <w:vAlign w:val="center"/>
          </w:tcPr>
          <w:p w14:paraId="576FD9F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调用一次OptionRiskAgent.analyze()</w:t>
            </w:r>
          </w:p>
        </w:tc>
        <w:tc>
          <w:tcPr>
            <w:tcW w:w="2664" w:type="dxa"/>
            <w:vAlign w:val="center"/>
          </w:tcPr>
          <w:p w14:paraId="08B0249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统一生成问题一和问题二结果</w:t>
            </w:r>
          </w:p>
        </w:tc>
      </w:tr>
      <w:tr w14:paraId="4717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7FAFB"/>
            <w:vAlign w:val="center"/>
          </w:tcPr>
          <w:p w14:paraId="7A4300A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4</w:t>
            </w:r>
          </w:p>
        </w:tc>
        <w:tc>
          <w:tcPr>
            <w:tcW w:w="1800" w:type="dxa"/>
            <w:shd w:val="clear" w:color="auto" w:fill="F7FAFB"/>
            <w:vAlign w:val="center"/>
          </w:tcPr>
          <w:p w14:paraId="1741063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查看六页签</w:t>
            </w:r>
          </w:p>
        </w:tc>
        <w:tc>
          <w:tcPr>
            <w:tcW w:w="4032" w:type="dxa"/>
            <w:shd w:val="clear" w:color="auto" w:fill="F7FAFB"/>
            <w:vAlign w:val="center"/>
          </w:tcPr>
          <w:p w14:paraId="2C7713A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决策、图谱、曲面、特征、时间轴、回测</w:t>
            </w:r>
          </w:p>
        </w:tc>
        <w:tc>
          <w:tcPr>
            <w:tcW w:w="2664" w:type="dxa"/>
            <w:shd w:val="clear" w:color="auto" w:fill="F7FAFB"/>
            <w:vAlign w:val="center"/>
          </w:tcPr>
          <w:p w14:paraId="2EE6236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从结论逐层下钻到证据</w:t>
            </w:r>
          </w:p>
        </w:tc>
      </w:tr>
      <w:tr w14:paraId="0C69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0F7E765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5</w:t>
            </w:r>
          </w:p>
        </w:tc>
        <w:tc>
          <w:tcPr>
            <w:tcW w:w="1800" w:type="dxa"/>
            <w:vAlign w:val="center"/>
          </w:tcPr>
          <w:p w14:paraId="6C4EC194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展开审计</w:t>
            </w:r>
          </w:p>
        </w:tc>
        <w:tc>
          <w:tcPr>
            <w:tcW w:w="4032" w:type="dxa"/>
            <w:vAlign w:val="center"/>
          </w:tcPr>
          <w:p w14:paraId="17BF4C4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查看拟合、节点、边、路径与版本字段</w:t>
            </w:r>
          </w:p>
        </w:tc>
        <w:tc>
          <w:tcPr>
            <w:tcW w:w="2664" w:type="dxa"/>
            <w:vAlign w:val="center"/>
          </w:tcPr>
          <w:p w14:paraId="0EFE23C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满足技术复核与答辩</w:t>
            </w:r>
          </w:p>
        </w:tc>
      </w:tr>
    </w:tbl>
    <w:p w14:paraId="235E2C8C">
      <w:pPr>
        <w:pStyle w:val="4"/>
      </w:pPr>
      <w:r>
        <w:t>10.1 六个页签</w:t>
      </w:r>
    </w:p>
    <w:p w14:paraId="53F9F595">
      <w:pPr>
        <w:pStyle w:val="16"/>
      </w:pPr>
      <w:r>
        <w:rPr>
          <w:rFonts w:ascii="等线" w:hAnsi="等线" w:eastAsia="等线"/>
          <w:color w:val="22313F"/>
          <w:sz w:val="20"/>
        </w:rPr>
        <w:t>Agent决策：持续风险状态、综合压力、阈值、数据质量、触发原因与通知状态；</w:t>
      </w:r>
    </w:p>
    <w:p w14:paraId="04106731">
      <w:pPr>
        <w:pStyle w:val="16"/>
      </w:pPr>
      <w:r>
        <w:rPr>
          <w:rFonts w:ascii="等线" w:hAnsi="等线" w:eastAsia="等线"/>
          <w:color w:val="22313F"/>
          <w:sz w:val="20"/>
        </w:rPr>
        <w:t>风险知识图谱：活动四层路径、固定查询、五段解释与审计展开项；</w:t>
      </w:r>
    </w:p>
    <w:p w14:paraId="63666747">
      <w:pPr>
        <w:pStyle w:val="16"/>
      </w:pPr>
      <w:r>
        <w:rPr>
          <w:rFonts w:ascii="等线" w:hAnsi="等线" w:eastAsia="等线"/>
          <w:color w:val="22313F"/>
          <w:sz w:val="20"/>
        </w:rPr>
        <w:t>IV与Greeks曲面：IV三维/热力/期限曲线及Delta、Gamma、Vega、Theta热力图；</w:t>
      </w:r>
    </w:p>
    <w:p w14:paraId="1A912EA6">
      <w:pPr>
        <w:pStyle w:val="16"/>
      </w:pPr>
      <w:r>
        <w:rPr>
          <w:rFonts w:ascii="等线" w:hAnsi="等线" w:eastAsia="等线"/>
          <w:color w:val="22313F"/>
          <w:sz w:val="20"/>
        </w:rPr>
        <w:t>风险特征：五组12项证据的当前值、阈值、压力倍数、变化率与状态；</w:t>
      </w:r>
    </w:p>
    <w:p w14:paraId="48A70F46">
      <w:pPr>
        <w:pStyle w:val="16"/>
      </w:pPr>
      <w:r>
        <w:rPr>
          <w:rFonts w:ascii="等线" w:hAnsi="等线" w:eastAsia="等线"/>
          <w:color w:val="22313F"/>
          <w:sz w:val="20"/>
        </w:rPr>
        <w:t>预警时间轴：仅显示所选时点及以前的数据；</w:t>
      </w:r>
    </w:p>
    <w:p w14:paraId="5C7AAA97">
      <w:pPr>
        <w:pStyle w:val="16"/>
      </w:pPr>
      <w:r>
        <w:rPr>
          <w:rFonts w:ascii="等线" w:hAnsi="等线" w:eastAsia="等线"/>
          <w:color w:val="22313F"/>
          <w:sz w:val="20"/>
        </w:rPr>
        <w:t>离线回测验证：显示产品级连续三个月固定样本外结果，不参与在线阈值再拟合。</w:t>
      </w:r>
    </w:p>
    <w:p w14:paraId="799F6CD2">
      <w:pPr>
        <w:pStyle w:val="4"/>
      </w:pPr>
      <w:r>
        <w:t>10.2 失败时如何呈现</w:t>
      </w:r>
    </w:p>
    <w:p w14:paraId="5A1863F2">
      <w:pPr>
        <w:keepLines w:val="0"/>
      </w:pPr>
      <w:r>
        <w:rPr>
          <w:rFonts w:ascii="等线" w:hAnsi="等线" w:eastAsia="等线"/>
          <w:color w:val="22313F"/>
          <w:sz w:val="21"/>
        </w:rPr>
        <w:t>不存在的数据源、品种或时间点会被明确拒绝；历史不足时不生成动态阈值；曲面节点不足时标记不可用；回测文件缺失时仅提示“尚未生成”，不影响当前时点分析。所有失败均给出可操作原因，不以空图或伪造曲线掩盖。</w:t>
      </w:r>
    </w:p>
    <w:tbl>
      <w:tblPr>
        <w:tblStyle w:val="32"/>
        <w:tblW w:w="92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56934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shd w:val="clear" w:color="auto" w:fill="EDF4F7"/>
          </w:tcPr>
          <w:p w14:paraId="7688BD24">
            <w:pPr>
              <w:spacing w:after="20"/>
            </w:pPr>
            <w:r>
              <w:rPr>
                <w:rFonts w:ascii="等线" w:hAnsi="等线" w:eastAsia="等线"/>
                <w:b/>
                <w:color w:val="1B998B"/>
                <w:sz w:val="20"/>
              </w:rPr>
              <w:t xml:space="preserve">单Agent承诺  </w:t>
            </w:r>
            <w:r>
              <w:rPr>
                <w:rFonts w:ascii="等线" w:hAnsi="等线" w:eastAsia="等线"/>
                <w:color w:val="22313F"/>
                <w:sz w:val="19"/>
              </w:rPr>
              <w:t>界面、Python接口与CLI的唯一业务Agent均为OptionRiskAgent；知识图谱模块是其内部解释层。</w:t>
            </w:r>
          </w:p>
        </w:tc>
      </w:tr>
    </w:tbl>
    <w:p w14:paraId="1AD8040A">
      <w:r>
        <w:br w:type="page"/>
      </w:r>
    </w:p>
    <w:p w14:paraId="0E334BF9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11  实验设计与验证方法</w:t>
      </w:r>
    </w:p>
    <w:p w14:paraId="25BED59E">
      <w:pPr>
        <w:spacing w:after="200"/>
      </w:pPr>
      <w:r>
        <w:rPr>
          <w:rFonts w:ascii="等线" w:hAnsi="等线" w:eastAsia="等线"/>
          <w:color w:val="5A6B78"/>
          <w:sz w:val="18"/>
        </w:rPr>
        <w:t>测试模型正确性，也测试时间安全、内容安全与工程可靠性</w:t>
      </w:r>
    </w:p>
    <w:p w14:paraId="4C775BD8">
      <w:pPr>
        <w:pStyle w:val="4"/>
      </w:pPr>
      <w:r>
        <w:t>11.1 分层抽取与全品种验收</w:t>
      </w:r>
    </w:p>
    <w:p w14:paraId="5E54528D">
      <w:pPr>
        <w:keepLines w:val="0"/>
      </w:pPr>
      <w:r>
        <w:rPr>
          <w:rFonts w:ascii="等线" w:hAnsi="等线" w:eastAsia="等线"/>
          <w:color w:val="22313F"/>
          <w:sz w:val="21"/>
        </w:rPr>
        <w:t>总方差拟合先以白银AG代表时点完成实现和诊断，再对缓存中的35个品种最后有效时点执行全量端到端验收。拟合覆盖统计按“全部期限可用、部分期限可用、无期限可用”区分，避免只报告成功样本。问题一与问题二验收报告都由当前合并代码生成。</w:t>
      </w:r>
    </w:p>
    <w:p w14:paraId="3D3F34C7">
      <w:pPr>
        <w:pStyle w:val="4"/>
      </w:pPr>
      <w:r>
        <w:t>11.2 测试层级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488"/>
      </w:tblGrid>
      <w:tr w14:paraId="423CC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0B4F6C"/>
            <w:vAlign w:val="center"/>
          </w:tcPr>
          <w:p w14:paraId="039423A6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验证层</w:t>
            </w:r>
          </w:p>
        </w:tc>
        <w:tc>
          <w:tcPr>
            <w:tcW w:w="7488" w:type="dxa"/>
            <w:shd w:val="clear" w:color="auto" w:fill="0B4F6C"/>
            <w:vAlign w:val="center"/>
          </w:tcPr>
          <w:p w14:paraId="07910CD1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重点检查</w:t>
            </w:r>
          </w:p>
        </w:tc>
      </w:tr>
      <w:tr w14:paraId="7026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F5832F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单元测试</w:t>
            </w:r>
          </w:p>
        </w:tc>
        <w:tc>
          <w:tcPr>
            <w:tcW w:w="7488" w:type="dxa"/>
            <w:vAlign w:val="center"/>
          </w:tcPr>
          <w:p w14:paraId="692CF5C4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总方差公式、SVI约束、PCHIP/线性覆盖边界、序列化、图节点/边契约</w:t>
            </w:r>
          </w:p>
        </w:tc>
      </w:tr>
      <w:tr w14:paraId="5F2C1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7FAFB"/>
            <w:vAlign w:val="center"/>
          </w:tcPr>
          <w:p w14:paraId="03321AD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集成测试</w:t>
            </w:r>
          </w:p>
        </w:tc>
        <w:tc>
          <w:tcPr>
            <w:tcW w:w="7488" w:type="dxa"/>
            <w:shd w:val="clear" w:color="auto" w:fill="F7FAFB"/>
            <w:vAlign w:val="center"/>
          </w:tcPr>
          <w:p w14:paraId="291A4814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数据发现→清洗→曲面→特征→预警→图谱→解释的完整链路</w:t>
            </w:r>
          </w:p>
        </w:tc>
      </w:tr>
      <w:tr w14:paraId="715B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2633B3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无未来数据</w:t>
            </w:r>
          </w:p>
        </w:tc>
        <w:tc>
          <w:tcPr>
            <w:tcW w:w="7488" w:type="dxa"/>
            <w:vAlign w:val="center"/>
          </w:tcPr>
          <w:p w14:paraId="5FA2C02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追加未来记录后重放同一历史时点；规范输出必须不变</w:t>
            </w:r>
          </w:p>
        </w:tc>
      </w:tr>
      <w:tr w14:paraId="7FA7D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7FAFB"/>
            <w:vAlign w:val="center"/>
          </w:tcPr>
          <w:p w14:paraId="05F6BDF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确定性</w:t>
            </w:r>
          </w:p>
        </w:tc>
        <w:tc>
          <w:tcPr>
            <w:tcW w:w="7488" w:type="dxa"/>
            <w:shd w:val="clear" w:color="auto" w:fill="F7FAFB"/>
            <w:vAlign w:val="center"/>
          </w:tcPr>
          <w:p w14:paraId="6DB8333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相同结果独立恢复后比较图、路径、查询与解释的规范序列化</w:t>
            </w:r>
          </w:p>
        </w:tc>
      </w:tr>
      <w:tr w14:paraId="4D058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B47BE6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内容安全</w:t>
            </w:r>
          </w:p>
        </w:tc>
        <w:tc>
          <w:tcPr>
            <w:tcW w:w="7488" w:type="dxa"/>
            <w:vAlign w:val="center"/>
          </w:tcPr>
          <w:p w14:paraId="55515FF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拦截确定因果、方向预测、交易建议与可执行套利措辞</w:t>
            </w:r>
          </w:p>
        </w:tc>
      </w:tr>
      <w:tr w14:paraId="142ED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7FAFB"/>
            <w:vAlign w:val="center"/>
          </w:tcPr>
          <w:p w14:paraId="21C92B1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可移植性</w:t>
            </w:r>
          </w:p>
        </w:tc>
        <w:tc>
          <w:tcPr>
            <w:tcW w:w="7488" w:type="dxa"/>
            <w:shd w:val="clear" w:color="auto" w:fill="F7FAFB"/>
            <w:vAlign w:val="center"/>
          </w:tcPr>
          <w:p w14:paraId="0AFE7ED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干净安装、外部数据根目录、RAR/ZIP/Parquet入口与Windows启动</w:t>
            </w:r>
          </w:p>
        </w:tc>
      </w:tr>
    </w:tbl>
    <w:p w14:paraId="0E725603">
      <w:pPr>
        <w:pStyle w:val="4"/>
      </w:pPr>
      <w:r>
        <w:t>11.3 回测隔离</w:t>
      </w:r>
    </w:p>
    <w:p w14:paraId="79C4CD9F">
      <w:pPr>
        <w:keepLines w:val="0"/>
      </w:pPr>
      <w:r>
        <w:rPr>
          <w:rFonts w:ascii="等线" w:hAnsi="等线" w:eastAsia="等线"/>
          <w:color w:val="22313F"/>
          <w:sz w:val="21"/>
        </w:rPr>
        <w:t>连续三个月样本外回测仅用于离线评价。状态机参数预注册在代码中，在线历史查询不会从回测摘要加载参数；轻量机器学习对照只使用训练/验证数据，并在训练→验证、验证→测试边界清除跨界的8根前瞻标签，测试标签不参与拟合或校准。</w:t>
      </w:r>
    </w:p>
    <w:p w14:paraId="19B789C6">
      <w:r>
        <w:br w:type="page"/>
      </w:r>
    </w:p>
    <w:p w14:paraId="6DC0F084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12  验证结果与证据</w:t>
      </w:r>
    </w:p>
    <w:p w14:paraId="57E75337">
      <w:pPr>
        <w:spacing w:after="200"/>
      </w:pPr>
      <w:r>
        <w:rPr>
          <w:rFonts w:ascii="等线" w:hAnsi="等线" w:eastAsia="等线"/>
          <w:color w:val="5A6B78"/>
          <w:sz w:val="18"/>
        </w:rPr>
        <w:t>35/35通过，同时如实报告曲面降级与不可用情况</w:t>
      </w:r>
    </w:p>
    <w:p w14:paraId="58C818B5">
      <w:pPr>
        <w:spacing w:after="0"/>
        <w:jc w:val="center"/>
      </w:pPr>
      <w:r>
        <w:drawing>
          <wp:inline distT="0" distB="0" distL="114300" distR="114300">
            <wp:extent cx="5806440" cy="1935480"/>
            <wp:effectExtent l="0" t="0" r="1016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A75F">
      <w:pPr>
        <w:pStyle w:val="15"/>
        <w:spacing w:after="120"/>
        <w:jc w:val="center"/>
      </w:pPr>
      <w:r>
        <w:rPr>
          <w:rFonts w:ascii="等线" w:hAnsi="等线" w:eastAsia="等线"/>
          <w:color w:val="5A6B78"/>
          <w:sz w:val="17"/>
        </w:rPr>
        <w:t>图7  正式验收与分层拟合覆盖统计。方法次数为各期限实际采用方法的汇总。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888"/>
        <w:gridCol w:w="3168"/>
      </w:tblGrid>
      <w:tr w14:paraId="1896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0B4F6C"/>
            <w:vAlign w:val="center"/>
          </w:tcPr>
          <w:p w14:paraId="1EA838E7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证据对象</w:t>
            </w:r>
          </w:p>
        </w:tc>
        <w:tc>
          <w:tcPr>
            <w:tcW w:w="3888" w:type="dxa"/>
            <w:shd w:val="clear" w:color="auto" w:fill="0B4F6C"/>
            <w:vAlign w:val="center"/>
          </w:tcPr>
          <w:p w14:paraId="597F00D6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结果</w:t>
            </w:r>
          </w:p>
        </w:tc>
        <w:tc>
          <w:tcPr>
            <w:tcW w:w="3168" w:type="dxa"/>
            <w:shd w:val="clear" w:color="auto" w:fill="0B4F6C"/>
            <w:vAlign w:val="center"/>
          </w:tcPr>
          <w:p w14:paraId="7794FA1F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位置</w:t>
            </w:r>
          </w:p>
        </w:tc>
      </w:tr>
      <w:tr w14:paraId="0AF4D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6E4C87D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问题一 + 问题二端到端</w:t>
            </w:r>
          </w:p>
        </w:tc>
        <w:tc>
          <w:tcPr>
            <w:tcW w:w="3888" w:type="dxa"/>
            <w:vAlign w:val="center"/>
          </w:tcPr>
          <w:p w14:paraId="45B4D53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35 / 35品种通过，0失败</w:t>
            </w:r>
          </w:p>
        </w:tc>
        <w:tc>
          <w:tcPr>
            <w:tcW w:w="3168" w:type="dxa"/>
            <w:vAlign w:val="center"/>
          </w:tcPr>
          <w:p w14:paraId="123C473D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outputs/agent_acceptance_full.json</w:t>
            </w:r>
          </w:p>
        </w:tc>
      </w:tr>
      <w:tr w14:paraId="67CB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7FAFB"/>
            <w:vAlign w:val="center"/>
          </w:tcPr>
          <w:p w14:paraId="57C0D63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知识图谱正式验收</w:t>
            </w:r>
          </w:p>
        </w:tc>
        <w:tc>
          <w:tcPr>
            <w:tcW w:w="3888" w:type="dxa"/>
            <w:shd w:val="clear" w:color="auto" w:fill="F7FAFB"/>
            <w:vAlign w:val="center"/>
          </w:tcPr>
          <w:p w14:paraId="53F0E2D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35 / 35品种通过，0失败</w:t>
            </w:r>
          </w:p>
        </w:tc>
        <w:tc>
          <w:tcPr>
            <w:tcW w:w="3168" w:type="dxa"/>
            <w:shd w:val="clear" w:color="auto" w:fill="F7FAFB"/>
            <w:vAlign w:val="center"/>
          </w:tcPr>
          <w:p w14:paraId="48DC538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outputs/knowledge_graph_acceptance_full.json</w:t>
            </w:r>
          </w:p>
        </w:tc>
      </w:tr>
      <w:tr w14:paraId="5804C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B92C70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确定性门禁</w:t>
            </w:r>
          </w:p>
        </w:tc>
        <w:tc>
          <w:tcPr>
            <w:tcW w:w="3888" w:type="dxa"/>
            <w:vAlign w:val="center"/>
          </w:tcPr>
          <w:p w14:paraId="561D96D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通过；检查35个成功图谱</w:t>
            </w:r>
          </w:p>
        </w:tc>
        <w:tc>
          <w:tcPr>
            <w:tcW w:w="3168" w:type="dxa"/>
            <w:vAlign w:val="center"/>
          </w:tcPr>
          <w:p w14:paraId="6107929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global_checks.deterministic</w:t>
            </w:r>
          </w:p>
        </w:tc>
      </w:tr>
      <w:tr w14:paraId="6276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7FAFB"/>
            <w:vAlign w:val="center"/>
          </w:tcPr>
          <w:p w14:paraId="56C217F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无未来数据门禁</w:t>
            </w:r>
          </w:p>
        </w:tc>
        <w:tc>
          <w:tcPr>
            <w:tcW w:w="3888" w:type="dxa"/>
            <w:shd w:val="clear" w:color="auto" w:fill="F7FAFB"/>
            <w:vAlign w:val="center"/>
          </w:tcPr>
          <w:p w14:paraId="2A481A7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通过；35图谱审计 + 1个未来回放fixture</w:t>
            </w:r>
          </w:p>
        </w:tc>
        <w:tc>
          <w:tcPr>
            <w:tcW w:w="3168" w:type="dxa"/>
            <w:shd w:val="clear" w:color="auto" w:fill="F7FAFB"/>
            <w:vAlign w:val="center"/>
          </w:tcPr>
          <w:p w14:paraId="528DCCE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global_checks.no_future</w:t>
            </w:r>
          </w:p>
        </w:tc>
      </w:tr>
      <w:tr w14:paraId="5F6E0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0DC9FAD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内容安全门禁</w:t>
            </w:r>
          </w:p>
        </w:tc>
        <w:tc>
          <w:tcPr>
            <w:tcW w:w="3888" w:type="dxa"/>
            <w:vAlign w:val="center"/>
          </w:tcPr>
          <w:p w14:paraId="4137AB4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通过；35图谱 + 9个措辞fixture</w:t>
            </w:r>
          </w:p>
        </w:tc>
        <w:tc>
          <w:tcPr>
            <w:tcW w:w="3168" w:type="dxa"/>
            <w:vAlign w:val="center"/>
          </w:tcPr>
          <w:p w14:paraId="3B1D79E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global_checks.content_safety</w:t>
            </w:r>
          </w:p>
        </w:tc>
      </w:tr>
      <w:tr w14:paraId="6C59B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7FAFB"/>
            <w:vAlign w:val="center"/>
          </w:tcPr>
          <w:p w14:paraId="0109F6A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专项自动化测试</w:t>
            </w:r>
          </w:p>
        </w:tc>
        <w:tc>
          <w:tcPr>
            <w:tcW w:w="3888" w:type="dxa"/>
            <w:shd w:val="clear" w:color="auto" w:fill="F7FAFB"/>
            <w:vAlign w:val="center"/>
          </w:tcPr>
          <w:p w14:paraId="45542B1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当前合并代码专项集合共751项通过</w:t>
            </w:r>
          </w:p>
        </w:tc>
        <w:tc>
          <w:tcPr>
            <w:tcW w:w="3168" w:type="dxa"/>
            <w:shd w:val="clear" w:color="auto" w:fill="F7FAFB"/>
            <w:vAlign w:val="center"/>
          </w:tcPr>
          <w:p w14:paraId="4F001BA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tests/与执行日志</w:t>
            </w:r>
          </w:p>
        </w:tc>
      </w:tr>
    </w:tbl>
    <w:p w14:paraId="5C027275">
      <w:pPr>
        <w:pStyle w:val="4"/>
      </w:pPr>
      <w:r>
        <w:t>12.1 曲面可用性如何解读</w:t>
      </w:r>
    </w:p>
    <w:p w14:paraId="261CF919">
      <w:pPr>
        <w:keepLines w:val="0"/>
      </w:pPr>
      <w:r>
        <w:rPr>
          <w:rFonts w:ascii="等线" w:hAnsi="等线" w:eastAsia="等线"/>
          <w:color w:val="22313F"/>
          <w:sz w:val="21"/>
        </w:rPr>
        <w:t>在35个分层时点中，14个为全部期限可用，19个为部分期限可用，2个为无期限可用；235次期限拟合中，SSVI 123次、Raw-SVI 82次、PCHIP 29次、线性1次。该结果说明系统并未为了“出图”而强制填满所有期限，而是按可靠性门禁保留真实缺口。</w:t>
      </w:r>
    </w:p>
    <w:p w14:paraId="08733F05">
      <w:pPr>
        <w:pStyle w:val="4"/>
      </w:pPr>
      <w:r>
        <w:t>12.2 证据可复核性</w:t>
      </w:r>
    </w:p>
    <w:p w14:paraId="4A4F884D">
      <w:pPr>
        <w:keepLines w:val="0"/>
      </w:pPr>
      <w:r>
        <w:rPr>
          <w:rFonts w:ascii="等线" w:hAnsi="等线" w:eastAsia="等线"/>
          <w:color w:val="22313F"/>
          <w:sz w:val="21"/>
        </w:rPr>
        <w:t>正式JSON验收源不会被HTML报告脚本反向改写。评委可通过Notebook、CLI与固定查询重新生成结果，也可从schema_version、rule_version、policy_version、policy_parameter_hash和source_timestamp核对图谱与预警的身份。</w:t>
      </w:r>
    </w:p>
    <w:p w14:paraId="7ADFE2DC">
      <w:r>
        <w:br w:type="page"/>
      </w:r>
    </w:p>
    <w:p w14:paraId="06FBB37E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13  部署、运行与提交包</w:t>
      </w:r>
    </w:p>
    <w:p w14:paraId="094E73FD">
      <w:pPr>
        <w:spacing w:after="200"/>
      </w:pPr>
      <w:r>
        <w:rPr>
          <w:rFonts w:ascii="等线" w:hAnsi="等线" w:eastAsia="等线"/>
          <w:color w:val="5A6B78"/>
          <w:sz w:val="18"/>
        </w:rPr>
        <w:t>标准Python环境可直接安装，支持Windows与macOS路径</w:t>
      </w:r>
    </w:p>
    <w:p w14:paraId="39256CEC">
      <w:pPr>
        <w:pStyle w:val="4"/>
      </w:pPr>
      <w:r>
        <w:t>13.1 环境</w:t>
      </w:r>
    </w:p>
    <w:p w14:paraId="5D360144">
      <w:pPr>
        <w:pStyle w:val="16"/>
      </w:pPr>
      <w:r>
        <w:rPr>
          <w:rFonts w:ascii="等线" w:hAnsi="等线" w:eastAsia="等线"/>
          <w:color w:val="22313F"/>
          <w:sz w:val="20"/>
        </w:rPr>
        <w:t>Python要求为&gt;=3.12，不要求必须恰好是3.12某个补丁版本；</w:t>
      </w:r>
    </w:p>
    <w:p w14:paraId="39C2B68E">
      <w:pPr>
        <w:pStyle w:val="16"/>
      </w:pPr>
      <w:r>
        <w:rPr>
          <w:rFonts w:ascii="等线" w:hAnsi="等线" w:eastAsia="等线"/>
          <w:color w:val="22313F"/>
          <w:sz w:val="20"/>
        </w:rPr>
        <w:t>主要依赖：pandas、NumPy、SciPy、PyArrow、NetworkX、Plotly、Matplotlib、scikit-learn、Streamlit、nbformat、nbclient；</w:t>
      </w:r>
    </w:p>
    <w:p w14:paraId="320542C8">
      <w:pPr>
        <w:pStyle w:val="16"/>
      </w:pPr>
      <w:r>
        <w:rPr>
          <w:rFonts w:ascii="等线" w:hAnsi="等线" w:eastAsia="等线"/>
          <w:color w:val="22313F"/>
          <w:sz w:val="20"/>
        </w:rPr>
        <w:t>首次安装依赖通常需要网络；依赖和数据就绪后，Agent、Notebook与报告可离线运行；</w:t>
      </w:r>
    </w:p>
    <w:p w14:paraId="5D05F042">
      <w:pPr>
        <w:pStyle w:val="16"/>
      </w:pPr>
      <w:r>
        <w:rPr>
          <w:rFonts w:ascii="等线" w:hAnsi="等线" w:eastAsia="等线"/>
          <w:color w:val="22313F"/>
          <w:sz w:val="20"/>
        </w:rPr>
        <w:t>Windows已完成正式全量验收；macOS支持运行，但尚未声明为真实Mac机器正式认证。</w:t>
      </w:r>
    </w:p>
    <w:p w14:paraId="18534C46">
      <w:pPr>
        <w:pStyle w:val="4"/>
      </w:pPr>
      <w:r>
        <w:t>13.2 Windows启动</w:t>
      </w:r>
    </w:p>
    <w:tbl>
      <w:tblPr>
        <w:tblStyle w:val="32"/>
        <w:tblW w:w="92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116E7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shd w:val="clear" w:color="auto" w:fill="EDF4F7"/>
          </w:tcPr>
          <w:p w14:paraId="4B947B10">
            <w:pPr>
              <w:spacing w:after="20"/>
            </w:pPr>
            <w:r>
              <w:rPr>
                <w:rFonts w:ascii="等线" w:hAnsi="等线" w:eastAsia="等线"/>
                <w:b/>
                <w:color w:val="1B998B"/>
                <w:sz w:val="20"/>
              </w:rPr>
              <w:t xml:space="preserve">PowerShell  </w:t>
            </w:r>
            <w:r>
              <w:rPr>
                <w:rFonts w:ascii="等线" w:hAnsi="等线" w:eastAsia="等线"/>
                <w:color w:val="22313F"/>
                <w:sz w:val="19"/>
              </w:rPr>
              <w:t>python -m venv .venv  →  .\.venv\Scripts\python.exe -m pip install -e ".[dev]"  →  .\.venv\Scripts\python.exe -m option_risk.cli serve --archive-path &lt;数据.rar&gt; --cache-dir .\data\agent_cache --output-dir .\outputs</w:t>
            </w:r>
          </w:p>
        </w:tc>
      </w:tr>
    </w:tbl>
    <w:p w14:paraId="630A7461">
      <w:pPr>
        <w:pStyle w:val="4"/>
      </w:pPr>
      <w:r>
        <w:t>13.3 ZIP或已解压数据</w:t>
      </w:r>
    </w:p>
    <w:p w14:paraId="76D211E2">
      <w:pPr>
        <w:keepLines w:val="0"/>
      </w:pPr>
      <w:r>
        <w:rPr>
          <w:rFonts w:ascii="等线" w:hAnsi="等线" w:eastAsia="等线"/>
          <w:color w:val="22313F"/>
          <w:sz w:val="21"/>
        </w:rPr>
        <w:t>若另一台电脑使用ZIP，只需把--archive-path指向ZIP；若已经解压，则改用--data-dir指向Parquet根目录。如果本机tar/bsdtar无法读取某种RAR格式，先用系统工具解压后再使用--data-dir。</w:t>
      </w:r>
    </w:p>
    <w:p w14:paraId="6CF37EA7">
      <w:pPr>
        <w:pStyle w:val="4"/>
      </w:pPr>
      <w:r>
        <w:t>13.4 提交包结构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056"/>
      </w:tblGrid>
      <w:tr w14:paraId="2A12E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0B4F6C"/>
            <w:vAlign w:val="center"/>
          </w:tcPr>
          <w:p w14:paraId="7A73768D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目录</w:t>
            </w:r>
          </w:p>
        </w:tc>
        <w:tc>
          <w:tcPr>
            <w:tcW w:w="7056" w:type="dxa"/>
            <w:shd w:val="clear" w:color="auto" w:fill="0B4F6C"/>
            <w:vAlign w:val="center"/>
          </w:tcPr>
          <w:p w14:paraId="7682B75B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用途</w:t>
            </w:r>
          </w:p>
        </w:tc>
      </w:tr>
      <w:tr w14:paraId="2457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1CC641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src/option_risk</w:t>
            </w:r>
          </w:p>
        </w:tc>
        <w:tc>
          <w:tcPr>
            <w:tcW w:w="7056" w:type="dxa"/>
            <w:vAlign w:val="center"/>
          </w:tcPr>
          <w:p w14:paraId="08E2F61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Agent、拟合、特征、预警、图谱、查询和解释源码</w:t>
            </w:r>
          </w:p>
        </w:tc>
      </w:tr>
      <w:tr w14:paraId="7919D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7FAFB"/>
            <w:vAlign w:val="center"/>
          </w:tcPr>
          <w:p w14:paraId="5838CC1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tests/</w:t>
            </w:r>
          </w:p>
        </w:tc>
        <w:tc>
          <w:tcPr>
            <w:tcW w:w="7056" w:type="dxa"/>
            <w:shd w:val="clear" w:color="auto" w:fill="F7FAFB"/>
            <w:vAlign w:val="center"/>
          </w:tcPr>
          <w:p w14:paraId="060B1E3D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单元、集成、时间安全、图谱契约与内容安全测试</w:t>
            </w:r>
          </w:p>
        </w:tc>
      </w:tr>
      <w:tr w14:paraId="08A0D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071352D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scripts/</w:t>
            </w:r>
          </w:p>
        </w:tc>
        <w:tc>
          <w:tcPr>
            <w:tcW w:w="7056" w:type="dxa"/>
            <w:vAlign w:val="center"/>
          </w:tcPr>
          <w:p w14:paraId="7E95328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验收、查询、Notebook、HTML报告与人工评分脚本</w:t>
            </w:r>
          </w:p>
        </w:tc>
      </w:tr>
      <w:tr w14:paraId="57FC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7FAFB"/>
            <w:vAlign w:val="center"/>
          </w:tcPr>
          <w:p w14:paraId="7FBC0CF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notebooks/</w:t>
            </w:r>
          </w:p>
        </w:tc>
        <w:tc>
          <w:tcPr>
            <w:tcW w:w="7056" w:type="dxa"/>
            <w:shd w:val="clear" w:color="auto" w:fill="F7FAFB"/>
            <w:vAlign w:val="center"/>
          </w:tcPr>
          <w:p w14:paraId="05A29AAD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问题一端到端与问题二知识图谱可复核演示</w:t>
            </w:r>
          </w:p>
        </w:tc>
      </w:tr>
      <w:tr w14:paraId="1C0FC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72C1367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outputs/</w:t>
            </w:r>
          </w:p>
        </w:tc>
        <w:tc>
          <w:tcPr>
            <w:tcW w:w="7056" w:type="dxa"/>
            <w:vAlign w:val="center"/>
          </w:tcPr>
          <w:p w14:paraId="6FF31AA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正式JSON验收源、轻量快照、自包含HTML报告</w:t>
            </w:r>
          </w:p>
        </w:tc>
      </w:tr>
      <w:tr w14:paraId="3965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7FAFB"/>
            <w:vAlign w:val="center"/>
          </w:tcPr>
          <w:p w14:paraId="08B3865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docs/ + README</w:t>
            </w:r>
          </w:p>
        </w:tc>
        <w:tc>
          <w:tcPr>
            <w:tcW w:w="7056" w:type="dxa"/>
            <w:shd w:val="clear" w:color="auto" w:fill="F7FAFB"/>
            <w:vAlign w:val="center"/>
          </w:tcPr>
          <w:p w14:paraId="2AEBC7E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设计、运行、跨平台、数据入口和审计说明</w:t>
            </w:r>
          </w:p>
        </w:tc>
      </w:tr>
    </w:tbl>
    <w:p w14:paraId="3B737387">
      <w:r>
        <w:br w:type="page"/>
      </w:r>
    </w:p>
    <w:p w14:paraId="5F323211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14  技术亮点、原创性与落地价值</w:t>
      </w:r>
    </w:p>
    <w:p w14:paraId="51AEB66A">
      <w:pPr>
        <w:spacing w:after="200"/>
      </w:pPr>
      <w:r>
        <w:rPr>
          <w:rFonts w:ascii="等线" w:hAnsi="等线" w:eastAsia="等线"/>
          <w:color w:val="5A6B78"/>
          <w:sz w:val="18"/>
        </w:rPr>
        <w:t>创新不在于堆叠模型，而在于形成可靠、可解释、可运行的闭环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392"/>
        <w:gridCol w:w="3168"/>
      </w:tblGrid>
      <w:tr w14:paraId="66491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shd w:val="clear" w:color="auto" w:fill="0B4F6C"/>
            <w:vAlign w:val="center"/>
          </w:tcPr>
          <w:p w14:paraId="08EA5BAA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亮点</w:t>
            </w:r>
          </w:p>
        </w:tc>
        <w:tc>
          <w:tcPr>
            <w:tcW w:w="4392" w:type="dxa"/>
            <w:shd w:val="clear" w:color="auto" w:fill="0B4F6C"/>
            <w:vAlign w:val="center"/>
          </w:tcPr>
          <w:p w14:paraId="232033BE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实现</w:t>
            </w:r>
          </w:p>
        </w:tc>
        <w:tc>
          <w:tcPr>
            <w:tcW w:w="3168" w:type="dxa"/>
            <w:shd w:val="clear" w:color="auto" w:fill="0B4F6C"/>
            <w:vAlign w:val="center"/>
          </w:tcPr>
          <w:p w14:paraId="44DBB4B5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价值</w:t>
            </w:r>
          </w:p>
        </w:tc>
      </w:tr>
      <w:tr w14:paraId="174B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BA9E34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总方差优先</w:t>
            </w:r>
          </w:p>
        </w:tc>
        <w:tc>
          <w:tcPr>
            <w:tcW w:w="4392" w:type="dxa"/>
            <w:vAlign w:val="center"/>
          </w:tcPr>
          <w:p w14:paraId="334E87A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把w(k,T)作为正式拟合对象，结合SSVI整体结构与逐期限降级</w:t>
            </w:r>
          </w:p>
        </w:tc>
        <w:tc>
          <w:tcPr>
            <w:tcW w:w="3168" w:type="dxa"/>
            <w:vAlign w:val="center"/>
          </w:tcPr>
          <w:p w14:paraId="36CE5AE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提高期限一致性与无套利检查可操作性</w:t>
            </w:r>
          </w:p>
        </w:tc>
      </w:tr>
      <w:tr w14:paraId="47132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B"/>
            <w:vAlign w:val="center"/>
          </w:tcPr>
          <w:p w14:paraId="2EFFDAF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可靠性降级</w:t>
            </w:r>
          </w:p>
        </w:tc>
        <w:tc>
          <w:tcPr>
            <w:tcW w:w="4392" w:type="dxa"/>
            <w:shd w:val="clear" w:color="auto" w:fill="F7FAFB"/>
            <w:vAlign w:val="center"/>
          </w:tcPr>
          <w:p w14:paraId="657C888A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SSVI→Raw-SVI→PCHIP→线性→不可用</w:t>
            </w:r>
          </w:p>
        </w:tc>
        <w:tc>
          <w:tcPr>
            <w:tcW w:w="3168" w:type="dxa"/>
            <w:shd w:val="clear" w:color="auto" w:fill="F7FAFB"/>
            <w:vAlign w:val="center"/>
          </w:tcPr>
          <w:p w14:paraId="46E83C4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允许失败、禁止盲目外推，避免伪曲面</w:t>
            </w:r>
          </w:p>
        </w:tc>
      </w:tr>
      <w:tr w14:paraId="73E3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85945A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动态证据</w:t>
            </w:r>
          </w:p>
        </w:tc>
        <w:tc>
          <w:tcPr>
            <w:tcW w:w="4392" w:type="dxa"/>
            <w:vAlign w:val="center"/>
          </w:tcPr>
          <w:p w14:paraId="1B9ADD1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12项证据均保存历史阈值、压力倍数和来源时点</w:t>
            </w:r>
          </w:p>
        </w:tc>
        <w:tc>
          <w:tcPr>
            <w:tcW w:w="3168" w:type="dxa"/>
            <w:vAlign w:val="center"/>
          </w:tcPr>
          <w:p w14:paraId="40ABF01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跨品种可比，同时控制未来数据泄漏</w:t>
            </w:r>
          </w:p>
        </w:tc>
      </w:tr>
      <w:tr w14:paraId="7E94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B"/>
            <w:vAlign w:val="center"/>
          </w:tcPr>
          <w:p w14:paraId="141BB36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单Agent双能力</w:t>
            </w:r>
          </w:p>
        </w:tc>
        <w:tc>
          <w:tcPr>
            <w:tcW w:w="4392" w:type="dxa"/>
            <w:shd w:val="clear" w:color="auto" w:fill="F7FAFB"/>
            <w:vAlign w:val="center"/>
          </w:tcPr>
          <w:p w14:paraId="2A9D8A9A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问题二读取问题一正式结果，不重复建模</w:t>
            </w:r>
          </w:p>
        </w:tc>
        <w:tc>
          <w:tcPr>
            <w:tcW w:w="3168" w:type="dxa"/>
            <w:shd w:val="clear" w:color="auto" w:fill="F7FAFB"/>
            <w:vAlign w:val="center"/>
          </w:tcPr>
          <w:p w14:paraId="22A5A65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减少耦合，保证预警与解释一致</w:t>
            </w:r>
          </w:p>
        </w:tc>
      </w:tr>
      <w:tr w14:paraId="3A9C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542870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四层图谱</w:t>
            </w:r>
          </w:p>
        </w:tc>
        <w:tc>
          <w:tcPr>
            <w:tcW w:w="4392" w:type="dxa"/>
            <w:vAlign w:val="center"/>
          </w:tcPr>
          <w:p w14:paraId="44C2A73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事实、异常、机理、结论职责分离</w:t>
            </w:r>
          </w:p>
        </w:tc>
        <w:tc>
          <w:tcPr>
            <w:tcW w:w="3168" w:type="dxa"/>
            <w:vAlign w:val="center"/>
          </w:tcPr>
          <w:p w14:paraId="0AD73ED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路径短、语义稳、便于固定查询与审计</w:t>
            </w:r>
          </w:p>
        </w:tc>
      </w:tr>
      <w:tr w14:paraId="7D284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B"/>
            <w:vAlign w:val="center"/>
          </w:tcPr>
          <w:p w14:paraId="20C821E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解释安全</w:t>
            </w:r>
          </w:p>
        </w:tc>
        <w:tc>
          <w:tcPr>
            <w:tcW w:w="4392" w:type="dxa"/>
            <w:shd w:val="clear" w:color="auto" w:fill="F7FAFB"/>
            <w:vAlign w:val="center"/>
          </w:tcPr>
          <w:p w14:paraId="3EE7093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自然语言 + 原始参数双层输出</w:t>
            </w:r>
          </w:p>
        </w:tc>
        <w:tc>
          <w:tcPr>
            <w:tcW w:w="3168" w:type="dxa"/>
            <w:shd w:val="clear" w:color="auto" w:fill="F7FAFB"/>
            <w:vAlign w:val="center"/>
          </w:tcPr>
          <w:p w14:paraId="226B30E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兼顾评委理解与技术复核，不提供交易建议</w:t>
            </w:r>
          </w:p>
        </w:tc>
      </w:tr>
      <w:tr w14:paraId="3C15C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AFD527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工程可运行</w:t>
            </w:r>
          </w:p>
        </w:tc>
        <w:tc>
          <w:tcPr>
            <w:tcW w:w="4392" w:type="dxa"/>
            <w:vAlign w:val="center"/>
          </w:tcPr>
          <w:p w14:paraId="57FD634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35品种、数据格式适配、缓存校验、CLI/Notebook/Streamlit</w:t>
            </w:r>
          </w:p>
        </w:tc>
        <w:tc>
          <w:tcPr>
            <w:tcW w:w="3168" w:type="dxa"/>
            <w:vAlign w:val="center"/>
          </w:tcPr>
          <w:p w14:paraId="0024C45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从研究原型推进到可交付系统</w:t>
            </w:r>
          </w:p>
        </w:tc>
      </w:tr>
    </w:tbl>
    <w:p w14:paraId="106F568C">
      <w:pPr>
        <w:pStyle w:val="4"/>
      </w:pPr>
      <w:r>
        <w:t>14.1 对期货公司风控的价值</w:t>
      </w:r>
    </w:p>
    <w:p w14:paraId="7B22B6CA">
      <w:pPr>
        <w:keepLines w:val="0"/>
      </w:pPr>
      <w:r>
        <w:rPr>
          <w:rFonts w:ascii="等线" w:hAnsi="等线" w:eastAsia="等线"/>
          <w:color w:val="22313F"/>
          <w:sz w:val="21"/>
        </w:rPr>
        <w:t>系统适合用于盘中观察与事后复核：风险人员先看等级和原因，再下钻到曲面、Greeks、阈值与传导路径；模型人员可查看拟合方法与失败原因；管理人员可通过统一等级和时间轴跟踪风险状态。不同角色共享同一份结构化证据，减少口径分歧。</w:t>
      </w:r>
    </w:p>
    <w:p w14:paraId="69F7F1F6">
      <w:pPr>
        <w:pStyle w:val="4"/>
      </w:pPr>
      <w:r>
        <w:t>14.2 可扩展性</w:t>
      </w:r>
    </w:p>
    <w:p w14:paraId="3C61FC54">
      <w:pPr>
        <w:keepLines w:val="0"/>
      </w:pPr>
      <w:r>
        <w:rPr>
          <w:rFonts w:ascii="等线" w:hAnsi="等线" w:eastAsia="等线"/>
          <w:color w:val="22313F"/>
          <w:sz w:val="21"/>
        </w:rPr>
        <w:t>新增品种不需要修改界面选项；新增证据可通过注册表扩展四层映射；若未来接入真实期货行情、持仓与成交簿，可替换价格代理并扩展敞口聚合，同时保持Agent输入和审计结构不变。</w:t>
      </w:r>
    </w:p>
    <w:p w14:paraId="1246904B">
      <w:r>
        <w:br w:type="page"/>
      </w:r>
    </w:p>
    <w:p w14:paraId="7009AFFD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15  已知不足与改进计划</w:t>
      </w:r>
    </w:p>
    <w:p w14:paraId="1C286F78">
      <w:pPr>
        <w:spacing w:after="200"/>
      </w:pPr>
      <w:r>
        <w:rPr>
          <w:rFonts w:ascii="等线" w:hAnsi="等线" w:eastAsia="等线"/>
          <w:color w:val="5A6B78"/>
          <w:sz w:val="18"/>
        </w:rPr>
        <w:t>主动说明边界，避免将探索性结果表述为正式结论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600"/>
        <w:gridCol w:w="3960"/>
      </w:tblGrid>
      <w:tr w14:paraId="6E69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shd w:val="clear" w:color="auto" w:fill="0B4F6C"/>
            <w:vAlign w:val="center"/>
          </w:tcPr>
          <w:p w14:paraId="67A6A231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边界</w:t>
            </w:r>
          </w:p>
        </w:tc>
        <w:tc>
          <w:tcPr>
            <w:tcW w:w="3600" w:type="dxa"/>
            <w:shd w:val="clear" w:color="auto" w:fill="0B4F6C"/>
            <w:vAlign w:val="center"/>
          </w:tcPr>
          <w:p w14:paraId="4C4E8C47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当前状态</w:t>
            </w:r>
          </w:p>
        </w:tc>
        <w:tc>
          <w:tcPr>
            <w:tcW w:w="3960" w:type="dxa"/>
            <w:shd w:val="clear" w:color="auto" w:fill="0B4F6C"/>
            <w:vAlign w:val="center"/>
          </w:tcPr>
          <w:p w14:paraId="5C75B496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改进方向</w:t>
            </w:r>
          </w:p>
        </w:tc>
      </w:tr>
      <w:tr w14:paraId="1317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5B3896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缺少独立期货行情</w:t>
            </w:r>
          </w:p>
        </w:tc>
        <w:tc>
          <w:tcPr>
            <w:tcW w:w="3600" w:type="dxa"/>
            <w:vAlign w:val="center"/>
          </w:tcPr>
          <w:p w14:paraId="1766977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部分标的价格由strike/moneyness重构代理</w:t>
            </w:r>
          </w:p>
        </w:tc>
        <w:tc>
          <w:tcPr>
            <w:tcW w:w="3960" w:type="dxa"/>
            <w:vAlign w:val="center"/>
          </w:tcPr>
          <w:p w14:paraId="14E56756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接入对应期货主力/连续合约行情，统一时间戳与合约映射</w:t>
            </w:r>
          </w:p>
        </w:tc>
      </w:tr>
      <w:tr w14:paraId="574A8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B"/>
            <w:vAlign w:val="center"/>
          </w:tcPr>
          <w:p w14:paraId="2F9338D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代理CVaR</w:t>
            </w:r>
          </w:p>
        </w:tc>
        <w:tc>
          <w:tcPr>
            <w:tcW w:w="3600" w:type="dxa"/>
            <w:shd w:val="clear" w:color="auto" w:fill="F7FAFB"/>
            <w:vAlign w:val="center"/>
          </w:tcPr>
          <w:p w14:paraId="599160B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与代理价格相关的CVaR只能作探索性结果</w:t>
            </w:r>
          </w:p>
        </w:tc>
        <w:tc>
          <w:tcPr>
            <w:tcW w:w="3960" w:type="dxa"/>
            <w:shd w:val="clear" w:color="auto" w:fill="F7FAFB"/>
            <w:vAlign w:val="center"/>
          </w:tcPr>
          <w:p w14:paraId="11CB8D0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真实行情接入后重新计算并执行独立样本外验证</w:t>
            </w:r>
          </w:p>
        </w:tc>
      </w:tr>
      <w:tr w14:paraId="46D83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C0AD32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宏观根因</w:t>
            </w:r>
          </w:p>
        </w:tc>
        <w:tc>
          <w:tcPr>
            <w:tcW w:w="3600" w:type="dxa"/>
            <w:vAlign w:val="center"/>
          </w:tcPr>
          <w:p w14:paraId="26F9CDAA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图谱根因是直接数据证据，不识别新闻/政策原因</w:t>
            </w:r>
          </w:p>
        </w:tc>
        <w:tc>
          <w:tcPr>
            <w:tcW w:w="3960" w:type="dxa"/>
            <w:vAlign w:val="center"/>
          </w:tcPr>
          <w:p w14:paraId="014D667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未来可增加经过审核的事件数据层，但保持“相关而非确定因果”</w:t>
            </w:r>
          </w:p>
        </w:tc>
      </w:tr>
      <w:tr w14:paraId="0794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B"/>
            <w:vAlign w:val="center"/>
          </w:tcPr>
          <w:p w14:paraId="438E09D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真实3级样本不足</w:t>
            </w:r>
          </w:p>
        </w:tc>
        <w:tc>
          <w:tcPr>
            <w:tcW w:w="3600" w:type="dxa"/>
            <w:shd w:val="clear" w:color="auto" w:fill="F7FAFB"/>
            <w:vAlign w:val="center"/>
          </w:tcPr>
          <w:p w14:paraId="6725E17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35品种最后时点验收未出现真实3级</w:t>
            </w:r>
          </w:p>
        </w:tc>
        <w:tc>
          <w:tcPr>
            <w:tcW w:w="3960" w:type="dxa"/>
            <w:shd w:val="clear" w:color="auto" w:fill="F7FAFB"/>
            <w:vAlign w:val="center"/>
          </w:tcPr>
          <w:p w14:paraId="68086FE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持续积累真实压力事件；当前合成3级仅测试契约，不计入市场表现</w:t>
            </w:r>
          </w:p>
        </w:tc>
      </w:tr>
      <w:tr w14:paraId="485CB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7D9A0C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人工解释评分</w:t>
            </w:r>
          </w:p>
        </w:tc>
        <w:tc>
          <w:tcPr>
            <w:tcW w:w="3600" w:type="dxa"/>
            <w:vAlign w:val="center"/>
          </w:tcPr>
          <w:p w14:paraId="0CB39BD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模板已提供，但尚未由真实评审人完整填写</w:t>
            </w:r>
          </w:p>
        </w:tc>
        <w:tc>
          <w:tcPr>
            <w:tcW w:w="3960" w:type="dxa"/>
            <w:vAlign w:val="center"/>
          </w:tcPr>
          <w:p w14:paraId="31D49E3D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组织3—5名独立评审，完成清晰性、证据、逻辑、措辞与安全评分</w:t>
            </w:r>
          </w:p>
        </w:tc>
      </w:tr>
      <w:tr w14:paraId="70A6F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B"/>
            <w:vAlign w:val="center"/>
          </w:tcPr>
          <w:p w14:paraId="5652D878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macOS认证</w:t>
            </w:r>
          </w:p>
        </w:tc>
        <w:tc>
          <w:tcPr>
            <w:tcW w:w="3600" w:type="dxa"/>
            <w:shd w:val="clear" w:color="auto" w:fill="F7FAFB"/>
            <w:vAlign w:val="center"/>
          </w:tcPr>
          <w:p w14:paraId="2ABFC7A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支持运行但正式全量验收在Windows完成</w:t>
            </w:r>
          </w:p>
        </w:tc>
        <w:tc>
          <w:tcPr>
            <w:tcW w:w="3960" w:type="dxa"/>
            <w:shd w:val="clear" w:color="auto" w:fill="F7FAFB"/>
            <w:vAlign w:val="center"/>
          </w:tcPr>
          <w:p w14:paraId="7029A4D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在Intel与Apple Silicon各执行干净安装和全量回归</w:t>
            </w:r>
          </w:p>
        </w:tc>
      </w:tr>
    </w:tbl>
    <w:p w14:paraId="65841EE2">
      <w:pPr>
        <w:pStyle w:val="4"/>
      </w:pPr>
      <w:r>
        <w:t>15.1 不做的事情</w:t>
      </w:r>
    </w:p>
    <w:p w14:paraId="1C044424">
      <w:pPr>
        <w:pStyle w:val="16"/>
      </w:pPr>
      <w:r>
        <w:rPr>
          <w:rFonts w:ascii="等线" w:hAnsi="等线" w:eastAsia="等线"/>
          <w:color w:val="22313F"/>
          <w:sz w:val="20"/>
        </w:rPr>
        <w:t>不把无套利几何违反解释为可立即执行的套利机会；</w:t>
      </w:r>
    </w:p>
    <w:p w14:paraId="30468842">
      <w:pPr>
        <w:pStyle w:val="16"/>
      </w:pPr>
      <w:r>
        <w:rPr>
          <w:rFonts w:ascii="等线" w:hAnsi="等线" w:eastAsia="等线"/>
          <w:color w:val="22313F"/>
          <w:sz w:val="20"/>
        </w:rPr>
        <w:t>不预测标的上涨或下跌，不输出交易指令；</w:t>
      </w:r>
    </w:p>
    <w:p w14:paraId="318CEB67">
      <w:pPr>
        <w:pStyle w:val="16"/>
      </w:pPr>
      <w:r>
        <w:rPr>
          <w:rFonts w:ascii="等线" w:hAnsi="等线" w:eastAsia="等线"/>
          <w:color w:val="22313F"/>
          <w:sz w:val="20"/>
        </w:rPr>
        <w:t>不使用未来数据调整历史预警；</w:t>
      </w:r>
    </w:p>
    <w:p w14:paraId="68BEBD5E">
      <w:pPr>
        <w:pStyle w:val="16"/>
      </w:pPr>
      <w:r>
        <w:rPr>
          <w:rFonts w:ascii="等线" w:hAnsi="等线" w:eastAsia="等线"/>
          <w:color w:val="22313F"/>
          <w:sz w:val="20"/>
        </w:rPr>
        <w:t>不在节点不足或拟合不可靠时强行生成完整曲面；</w:t>
      </w:r>
    </w:p>
    <w:p w14:paraId="2D8D7B49">
      <w:pPr>
        <w:pStyle w:val="16"/>
      </w:pPr>
      <w:r>
        <w:rPr>
          <w:rFonts w:ascii="等线" w:hAnsi="等线" w:eastAsia="等线"/>
          <w:color w:val="22313F"/>
          <w:sz w:val="20"/>
        </w:rPr>
        <w:t>不把质量压力误当成市场风险升级信号。</w:t>
      </w:r>
    </w:p>
    <w:tbl>
      <w:tblPr>
        <w:tblStyle w:val="32"/>
        <w:tblW w:w="92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2E29F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shd w:val="clear" w:color="auto" w:fill="FFF5E9"/>
          </w:tcPr>
          <w:p w14:paraId="5C5DD826">
            <w:pPr>
              <w:spacing w:after="20"/>
            </w:pPr>
            <w:r>
              <w:rPr>
                <w:rFonts w:ascii="等线" w:hAnsi="等线" w:eastAsia="等线"/>
                <w:b/>
                <w:color w:val="F4A261"/>
                <w:sz w:val="20"/>
              </w:rPr>
              <w:t xml:space="preserve">改进优先级  </w:t>
            </w:r>
            <w:r>
              <w:rPr>
                <w:rFonts w:ascii="等线" w:hAnsi="等线" w:eastAsia="等线"/>
                <w:color w:val="22313F"/>
                <w:sz w:val="19"/>
              </w:rPr>
              <w:t>第一优先级是接入真实期货行情并重做价格相关验证；第二优先级是扩大真实压力事件与人工解释评分；第三优先级才是增加更复杂的模型。</w:t>
            </w:r>
          </w:p>
        </w:tc>
      </w:tr>
    </w:tbl>
    <w:p w14:paraId="3C247A90">
      <w:r>
        <w:br w:type="page"/>
      </w:r>
    </w:p>
    <w:p w14:paraId="6A741E84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16  结论与交付清单</w:t>
      </w:r>
    </w:p>
    <w:p w14:paraId="00CEF5F7">
      <w:pPr>
        <w:spacing w:after="200"/>
      </w:pPr>
      <w:r>
        <w:rPr>
          <w:rFonts w:ascii="等线" w:hAnsi="等线" w:eastAsia="等线"/>
          <w:color w:val="5A6B78"/>
          <w:sz w:val="18"/>
        </w:rPr>
        <w:t>OptionRiskAgent已经形成“曲面—特征—预警—图谱解释”的完整闭环</w:t>
      </w:r>
    </w:p>
    <w:p w14:paraId="1A647223">
      <w:pPr>
        <w:keepLines w:val="0"/>
      </w:pPr>
      <w:r>
        <w:rPr>
          <w:rFonts w:ascii="等线" w:hAnsi="等线" w:eastAsia="等线"/>
          <w:color w:val="22313F"/>
          <w:sz w:val="21"/>
        </w:rPr>
        <w:t>曲面观策以一个OptionRiskAgent完成赛题问题一和问题二。问题一以总方差为正式拟合对象，使用SSVI、带约束Raw-SVI、PCHIP、线性和不可用标记构成可靠性降级链；在此基础上计算IV/Greeks曲面、五组12项风险证据并输出0—3级动态预警。问题二使用NetworkX构建四层风险知识图谱，通过固定预设查询、五段解释和完整路径审计回答“风险为何产生、可能如何传导、证据是否充分”。</w:t>
      </w:r>
    </w:p>
    <w:p w14:paraId="6AFC4BAA">
      <w:pPr>
        <w:keepLines w:val="0"/>
      </w:pPr>
      <w:r>
        <w:rPr>
          <w:rFonts w:ascii="等线" w:hAnsi="等线" w:eastAsia="等线"/>
          <w:color w:val="22313F"/>
          <w:sz w:val="21"/>
        </w:rPr>
        <w:t>正式验收覆盖35个品种，问题一与问题二端到端均为35/35通过、0失败；确定性、无未来数据和内容安全门禁均通过。系统同时保留拟合失败与数据质量边界，不以强制插值、自由生成文本或未来信息换取表面完整性。</w:t>
      </w:r>
    </w:p>
    <w:p w14:paraId="5069ACB2">
      <w:pPr>
        <w:pStyle w:val="4"/>
      </w:pPr>
      <w:r>
        <w:t>16.1 四项初赛材料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168"/>
        <w:gridCol w:w="4320"/>
      </w:tblGrid>
      <w:tr w14:paraId="3C3D1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0B4F6C"/>
            <w:vAlign w:val="center"/>
          </w:tcPr>
          <w:p w14:paraId="1D59DF3B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材料</w:t>
            </w:r>
          </w:p>
        </w:tc>
        <w:tc>
          <w:tcPr>
            <w:tcW w:w="3168" w:type="dxa"/>
            <w:shd w:val="clear" w:color="auto" w:fill="0B4F6C"/>
            <w:vAlign w:val="center"/>
          </w:tcPr>
          <w:p w14:paraId="2BABF60D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文件</w:t>
            </w:r>
          </w:p>
        </w:tc>
        <w:tc>
          <w:tcPr>
            <w:tcW w:w="4320" w:type="dxa"/>
            <w:shd w:val="clear" w:color="auto" w:fill="0B4F6C"/>
            <w:vAlign w:val="center"/>
          </w:tcPr>
          <w:p w14:paraId="3A3FF652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说明</w:t>
            </w:r>
          </w:p>
        </w:tc>
      </w:tr>
      <w:tr w14:paraId="29A54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7F19B8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① 精益画布</w:t>
            </w:r>
          </w:p>
        </w:tc>
        <w:tc>
          <w:tcPr>
            <w:tcW w:w="3168" w:type="dxa"/>
            <w:vAlign w:val="center"/>
          </w:tcPr>
          <w:p w14:paraId="4FFC154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曲面观策-精益画布.pptx</w:t>
            </w:r>
          </w:p>
        </w:tc>
        <w:tc>
          <w:tcPr>
            <w:tcW w:w="4320" w:type="dxa"/>
            <w:vAlign w:val="center"/>
          </w:tcPr>
          <w:p w14:paraId="12B44FC4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一页，概述问题、方案、指标、亮点、原创性、落地与改进</w:t>
            </w:r>
          </w:p>
        </w:tc>
      </w:tr>
      <w:tr w14:paraId="35765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7FAFB"/>
            <w:vAlign w:val="center"/>
          </w:tcPr>
          <w:p w14:paraId="5037B70B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② 可运行项目成果</w:t>
            </w:r>
          </w:p>
        </w:tc>
        <w:tc>
          <w:tcPr>
            <w:tcW w:w="3168" w:type="dxa"/>
            <w:shd w:val="clear" w:color="auto" w:fill="F7FAFB"/>
            <w:vAlign w:val="center"/>
          </w:tcPr>
          <w:p w14:paraId="4298D05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option_risk_warning_submission.zip</w:t>
            </w:r>
          </w:p>
        </w:tc>
        <w:tc>
          <w:tcPr>
            <w:tcW w:w="4320" w:type="dxa"/>
            <w:shd w:val="clear" w:color="auto" w:fill="F7FAFB"/>
            <w:vAlign w:val="center"/>
          </w:tcPr>
          <w:p w14:paraId="189ED05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源码、安装声明、脚本、Notebook与轻量验收证据</w:t>
            </w:r>
          </w:p>
        </w:tc>
      </w:tr>
      <w:tr w14:paraId="31F2F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2249B9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③ 技术文档</w:t>
            </w:r>
          </w:p>
        </w:tc>
        <w:tc>
          <w:tcPr>
            <w:tcW w:w="3168" w:type="dxa"/>
            <w:vAlign w:val="center"/>
          </w:tcPr>
          <w:p w14:paraId="3227EF0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本文DOCX + PDF</w:t>
            </w:r>
          </w:p>
        </w:tc>
        <w:tc>
          <w:tcPr>
            <w:tcW w:w="4320" w:type="dxa"/>
            <w:vAlign w:val="center"/>
          </w:tcPr>
          <w:p w14:paraId="0DD9A861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技术路线、模型、实验、量化指标、图表、限制与运行方式</w:t>
            </w:r>
          </w:p>
        </w:tc>
      </w:tr>
      <w:tr w14:paraId="43DBB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7FAFB"/>
            <w:vAlign w:val="center"/>
          </w:tcPr>
          <w:p w14:paraId="764A771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④ 原创性声明</w:t>
            </w:r>
          </w:p>
        </w:tc>
        <w:tc>
          <w:tcPr>
            <w:tcW w:w="3168" w:type="dxa"/>
            <w:shd w:val="clear" w:color="auto" w:fill="F7FAFB"/>
            <w:vAlign w:val="center"/>
          </w:tcPr>
          <w:p w14:paraId="219221D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按大赛统一模板签署</w:t>
            </w:r>
          </w:p>
        </w:tc>
        <w:tc>
          <w:tcPr>
            <w:tcW w:w="4320" w:type="dxa"/>
            <w:shd w:val="clear" w:color="auto" w:fill="F7FAFB"/>
            <w:vAlign w:val="center"/>
          </w:tcPr>
          <w:p w14:paraId="53912B6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7"/>
              </w:rPr>
              <w:t>需团队按模板完成签字/盖章（如要求）</w:t>
            </w:r>
          </w:p>
        </w:tc>
      </w:tr>
    </w:tbl>
    <w:p w14:paraId="7034DF29">
      <w:pPr>
        <w:pStyle w:val="4"/>
      </w:pPr>
      <w:r>
        <w:t>16.2 评委快速复核入口</w:t>
      </w:r>
    </w:p>
    <w:p w14:paraId="5F663F72">
      <w:pPr>
        <w:pStyle w:val="16"/>
      </w:pPr>
      <w:r>
        <w:rPr>
          <w:rFonts w:ascii="等线" w:hAnsi="等线" w:eastAsia="等线"/>
          <w:color w:val="22313F"/>
          <w:sz w:val="20"/>
        </w:rPr>
        <w:t>README.md：统一入口、环境、数据源与命令；</w:t>
      </w:r>
    </w:p>
    <w:p w14:paraId="5DE6488B">
      <w:pPr>
        <w:pStyle w:val="16"/>
      </w:pPr>
      <w:r>
        <w:rPr>
          <w:rFonts w:ascii="等线" w:hAnsi="等线" w:eastAsia="等线"/>
          <w:color w:val="22313F"/>
          <w:sz w:val="20"/>
        </w:rPr>
        <w:t>outputs/agent_acceptance_full.json：35品种端到端正式验收；</w:t>
      </w:r>
    </w:p>
    <w:p w14:paraId="4A72FBC4">
      <w:pPr>
        <w:pStyle w:val="16"/>
      </w:pPr>
      <w:r>
        <w:rPr>
          <w:rFonts w:ascii="等线" w:hAnsi="等线" w:eastAsia="等线"/>
          <w:color w:val="22313F"/>
          <w:sz w:val="20"/>
        </w:rPr>
        <w:t>outputs/knowledge_graph_acceptance_full.json：知识图谱及三项全局门禁；</w:t>
      </w:r>
    </w:p>
    <w:p w14:paraId="3A96D969">
      <w:pPr>
        <w:pStyle w:val="16"/>
      </w:pPr>
      <w:r>
        <w:rPr>
          <w:rFonts w:ascii="等线" w:hAnsi="等线" w:eastAsia="等线"/>
          <w:color w:val="22313F"/>
          <w:sz w:val="20"/>
        </w:rPr>
        <w:t>notebooks/01_end_to_end_demo.ipynb 与 02_knowledge_graph_demo.ipynb：可执行演示；</w:t>
      </w:r>
    </w:p>
    <w:p w14:paraId="64D71FAF">
      <w:pPr>
        <w:pStyle w:val="16"/>
      </w:pPr>
      <w:r>
        <w:rPr>
          <w:rFonts w:ascii="等线" w:hAnsi="等线" w:eastAsia="等线"/>
          <w:color w:val="22313F"/>
          <w:sz w:val="20"/>
        </w:rPr>
        <w:t>outputs/问题1-Agent离线验收报告.html 与 问题2-知识图谱验收报告.html：无网络依赖报告。</w:t>
      </w:r>
    </w:p>
    <w:tbl>
      <w:tblPr>
        <w:tblStyle w:val="32"/>
        <w:tblW w:w="92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6CD98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shd w:val="clear" w:color="auto" w:fill="EDF4F7"/>
          </w:tcPr>
          <w:p w14:paraId="29844BC4">
            <w:pPr>
              <w:spacing w:after="20"/>
            </w:pPr>
            <w:r>
              <w:rPr>
                <w:rFonts w:ascii="等线" w:hAnsi="等线" w:eastAsia="等线"/>
                <w:b/>
                <w:color w:val="1B998B"/>
                <w:sz w:val="20"/>
              </w:rPr>
              <w:t xml:space="preserve">最终一句话  </w:t>
            </w:r>
            <w:r>
              <w:rPr>
                <w:rFonts w:ascii="等线" w:hAnsi="等线" w:eastAsia="等线"/>
                <w:color w:val="22313F"/>
                <w:sz w:val="19"/>
              </w:rPr>
              <w:t>输入品种与时间点，OptionRiskAgent自动完成曲面拟合、Greeks计算、风险特征提取、0—3级预警及可追溯知识图谱解释。</w:t>
            </w:r>
          </w:p>
        </w:tc>
      </w:tr>
    </w:tbl>
    <w:p w14:paraId="5A42738F">
      <w:r>
        <w:br w:type="page"/>
      </w:r>
    </w:p>
    <w:p w14:paraId="218DC63F">
      <w:pPr>
        <w:pStyle w:val="3"/>
        <w:keepNext/>
      </w:pPr>
      <w:r>
        <w:rPr>
          <w:rFonts w:ascii="宋体" w:hAnsi="宋体" w:eastAsia="宋体"/>
          <w:b/>
          <w:color w:val="0B4F6C"/>
          <w:sz w:val="32"/>
        </w:rPr>
        <w:t>附录A  正式支持品种与关键版本字段</w:t>
      </w:r>
    </w:p>
    <w:p w14:paraId="7F5367FB">
      <w:pPr>
        <w:keepLines w:val="0"/>
      </w:pPr>
      <w:r>
        <w:rPr>
          <w:rFonts w:ascii="等线" w:hAnsi="等线" w:eastAsia="等线"/>
          <w:color w:val="22313F"/>
          <w:sz w:val="21"/>
        </w:rPr>
        <w:t>当前正式数据目录共识别35个品种：a、ag、al、ao、au、b、br、bu、c、cs、cu、eb、eg、fu、i、jd、l、lc、lh、m、ni、p、pb、pg、pp、ps、rb、ru、sc、si、sn、sp、v、y、zn。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672"/>
        <w:gridCol w:w="3168"/>
      </w:tblGrid>
      <w:tr w14:paraId="5F18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0B4F6C"/>
            <w:vAlign w:val="center"/>
          </w:tcPr>
          <w:p w14:paraId="380336F0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字段</w:t>
            </w:r>
          </w:p>
        </w:tc>
        <w:tc>
          <w:tcPr>
            <w:tcW w:w="3672" w:type="dxa"/>
            <w:shd w:val="clear" w:color="auto" w:fill="0B4F6C"/>
            <w:vAlign w:val="center"/>
          </w:tcPr>
          <w:p w14:paraId="113C60ED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含义</w:t>
            </w:r>
          </w:p>
        </w:tc>
        <w:tc>
          <w:tcPr>
            <w:tcW w:w="3168" w:type="dxa"/>
            <w:shd w:val="clear" w:color="auto" w:fill="0B4F6C"/>
            <w:vAlign w:val="center"/>
          </w:tcPr>
          <w:p w14:paraId="210921AD"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审计价值</w:t>
            </w:r>
          </w:p>
        </w:tc>
      </w:tr>
      <w:tr w14:paraId="683CB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D3FCC4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schema_version</w:t>
            </w:r>
          </w:p>
        </w:tc>
        <w:tc>
          <w:tcPr>
            <w:tcW w:w="3672" w:type="dxa"/>
            <w:vAlign w:val="center"/>
          </w:tcPr>
          <w:p w14:paraId="75E3AEC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知识图谱节点/边契约版本</w:t>
            </w:r>
          </w:p>
        </w:tc>
        <w:tc>
          <w:tcPr>
            <w:tcW w:w="3168" w:type="dxa"/>
            <w:vAlign w:val="center"/>
          </w:tcPr>
          <w:p w14:paraId="5E67201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防止不同结构结果混用</w:t>
            </w:r>
          </w:p>
        </w:tc>
      </w:tr>
      <w:tr w14:paraId="15963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AFB"/>
            <w:vAlign w:val="center"/>
          </w:tcPr>
          <w:p w14:paraId="20EEA83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rule_version</w:t>
            </w:r>
          </w:p>
        </w:tc>
        <w:tc>
          <w:tcPr>
            <w:tcW w:w="3672" w:type="dxa"/>
            <w:shd w:val="clear" w:color="auto" w:fill="F7FAFB"/>
            <w:vAlign w:val="center"/>
          </w:tcPr>
          <w:p w14:paraId="5CFEF310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12项Evidence映射规则版本</w:t>
            </w:r>
          </w:p>
        </w:tc>
        <w:tc>
          <w:tcPr>
            <w:tcW w:w="3168" w:type="dxa"/>
            <w:shd w:val="clear" w:color="auto" w:fill="F7FAFB"/>
            <w:vAlign w:val="center"/>
          </w:tcPr>
          <w:p w14:paraId="34D2467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复核证据到异常/机理/结论的映射</w:t>
            </w:r>
          </w:p>
        </w:tc>
      </w:tr>
      <w:tr w14:paraId="3F58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1DF817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policy_version</w:t>
            </w:r>
          </w:p>
        </w:tc>
        <w:tc>
          <w:tcPr>
            <w:tcW w:w="3672" w:type="dxa"/>
            <w:vAlign w:val="center"/>
          </w:tcPr>
          <w:p w14:paraId="0704F045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问题一动态状态机版本</w:t>
            </w:r>
          </w:p>
        </w:tc>
        <w:tc>
          <w:tcPr>
            <w:tcW w:w="3168" w:type="dxa"/>
            <w:vAlign w:val="center"/>
          </w:tcPr>
          <w:p w14:paraId="3FB86A52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识别预警规则身份</w:t>
            </w:r>
          </w:p>
        </w:tc>
      </w:tr>
      <w:tr w14:paraId="68C1D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AFB"/>
            <w:vAlign w:val="center"/>
          </w:tcPr>
          <w:p w14:paraId="32692C27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policy_parameter_hash</w:t>
            </w:r>
          </w:p>
        </w:tc>
        <w:tc>
          <w:tcPr>
            <w:tcW w:w="3672" w:type="dxa"/>
            <w:shd w:val="clear" w:color="auto" w:fill="F7FAFB"/>
            <w:vAlign w:val="center"/>
          </w:tcPr>
          <w:p w14:paraId="6FCA572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预警参数完整哈希</w:t>
            </w:r>
          </w:p>
        </w:tc>
        <w:tc>
          <w:tcPr>
            <w:tcW w:w="3168" w:type="dxa"/>
            <w:shd w:val="clear" w:color="auto" w:fill="F7FAFB"/>
            <w:vAlign w:val="center"/>
          </w:tcPr>
          <w:p w14:paraId="0204A97A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检测参数变化</w:t>
            </w:r>
          </w:p>
        </w:tc>
      </w:tr>
      <w:tr w14:paraId="0E9D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723981D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source_timestamp</w:t>
            </w:r>
          </w:p>
        </w:tc>
        <w:tc>
          <w:tcPr>
            <w:tcW w:w="3672" w:type="dxa"/>
            <w:vAlign w:val="center"/>
          </w:tcPr>
          <w:p w14:paraId="73EA03A9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节点/关系引用的数据时点</w:t>
            </w:r>
          </w:p>
        </w:tc>
        <w:tc>
          <w:tcPr>
            <w:tcW w:w="3168" w:type="dxa"/>
            <w:vAlign w:val="center"/>
          </w:tcPr>
          <w:p w14:paraId="11D4C92C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审计未来数据和跨时点污染</w:t>
            </w:r>
          </w:p>
        </w:tc>
      </w:tr>
      <w:tr w14:paraId="7BA22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AFB"/>
            <w:vAlign w:val="center"/>
          </w:tcPr>
          <w:p w14:paraId="5693ADD3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iv_surface_fit</w:t>
            </w:r>
          </w:p>
        </w:tc>
        <w:tc>
          <w:tcPr>
            <w:tcW w:w="3672" w:type="dxa"/>
            <w:shd w:val="clear" w:color="auto" w:fill="F7FAFB"/>
            <w:vAlign w:val="center"/>
          </w:tcPr>
          <w:p w14:paraId="7098F88E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拟合策略、期限可用性、尝试与检查</w:t>
            </w:r>
          </w:p>
        </w:tc>
        <w:tc>
          <w:tcPr>
            <w:tcW w:w="3168" w:type="dxa"/>
            <w:shd w:val="clear" w:color="auto" w:fill="F7FAFB"/>
            <w:vAlign w:val="center"/>
          </w:tcPr>
          <w:p w14:paraId="289F350F">
            <w:pPr>
              <w:spacing w:after="0" w:line="252" w:lineRule="auto"/>
              <w:jc w:val="left"/>
            </w:pPr>
            <w:r>
              <w:rPr>
                <w:rFonts w:ascii="等线" w:hAnsi="等线" w:eastAsia="等线"/>
                <w:color w:val="22313F"/>
                <w:sz w:val="16"/>
              </w:rPr>
              <w:t>复核曲面方法与失败原因</w:t>
            </w:r>
          </w:p>
        </w:tc>
      </w:tr>
    </w:tbl>
    <w:p w14:paraId="5C1572ED">
      <w:pPr>
        <w:pStyle w:val="4"/>
      </w:pPr>
      <w:r>
        <w:t>附录A.1 主要证据来源</w:t>
      </w:r>
    </w:p>
    <w:p w14:paraId="075A6616">
      <w:pPr>
        <w:keepLines w:val="0"/>
      </w:pPr>
      <w:r>
        <w:rPr>
          <w:rFonts w:ascii="等线" w:hAnsi="等线" w:eastAsia="等线"/>
          <w:color w:val="22313F"/>
          <w:sz w:val="21"/>
        </w:rPr>
        <w:t>本文全部技术描述和量化结果来自项目源码、README、问题一/问题二设计与运行说明、正式验收JSON、Agent缓存结果及自动化测试记录；未使用外部网页材料，也未对缺失的人工作业结果做推测性填充。</w:t>
      </w:r>
    </w:p>
    <w:sectPr>
      <w:headerReference r:id="rId5" w:type="default"/>
      <w:footerReference r:id="rId6" w:type="default"/>
      <w:pgSz w:w="12240" w:h="15840"/>
      <w:pgMar w:top="1181" w:right="1440" w:bottom="1037" w:left="1440" w:header="504" w:footer="50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337F1">
    <w:pPr>
      <w:pStyle w:val="24"/>
      <w:jc w:val="center"/>
    </w:pPr>
    <w:r>
      <w:rPr>
        <w:rFonts w:ascii="等线" w:hAnsi="等线" w:eastAsia="等线"/>
        <w:color w:val="5A6B78"/>
        <w:sz w:val="16"/>
      </w:rPr>
      <w:t xml:space="preserve">初赛提交材料③  ·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297AF">
    <w:pPr>
      <w:pStyle w:val="25"/>
      <w:jc w:val="right"/>
    </w:pPr>
    <w:r>
      <w:rPr>
        <w:rFonts w:ascii="等线" w:hAnsi="等线" w:eastAsia="等线"/>
        <w:color w:val="5A6B78"/>
        <w:sz w:val="16"/>
      </w:rPr>
      <w:t>曲面观策  |  OptionRiskAgent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26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  <w:jc w:val="both"/>
    </w:pPr>
    <w:rPr>
      <w:rFonts w:ascii="等线" w:hAnsi="等线" w:eastAsia="等线" w:cstheme="minorBidi"/>
      <w:color w:val="22313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160"/>
      <w:outlineLvl w:val="0"/>
    </w:pPr>
    <w:rPr>
      <w:rFonts w:asciiTheme="majorHAnsi" w:hAnsiTheme="majorHAnsi" w:eastAsiaTheme="majorEastAsia" w:cstheme="majorBidi"/>
      <w:b/>
      <w:bCs/>
      <w:color w:val="0B4F6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eastAsia="宋体" w:asciiTheme="majorAscii" w:hAnsiTheme="majorAscii" w:cstheme="majorBidi"/>
      <w:b/>
      <w:bCs/>
      <w:color w:val="1976A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B4F6C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等线" w:hAnsi="等线" w:eastAsia="等线"/>
      <w:b/>
      <w:bCs/>
      <w:color w:val="5A6B78"/>
      <w:sz w:val="17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/>
      <w:contextualSpacing/>
    </w:pPr>
    <w:rPr>
      <w:rFonts w:ascii="等线" w:hAnsi="等线" w:eastAsia="等线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60"/>
      <w:contextualSpacing/>
    </w:pPr>
    <w:rPr>
      <w:rFonts w:ascii="等线" w:hAnsi="等线" w:eastAsia="等线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宋体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201</Words>
  <Characters>255</Characters>
  <Lines>0</Lines>
  <Paragraphs>0</Paragraphs>
  <TotalTime>6</TotalTime>
  <ScaleCrop>false</ScaleCrop>
  <LinksUpToDate>false</LinksUpToDate>
  <CharactersWithSpaces>267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曲面观策</dc:creator>
  <dc:description>generated by python-docx</dc:description>
  <cp:keywords>期权, 波动率曲面, Greeks, 风险预警, 知识图谱, Agent</cp:keywords>
  <cp:lastModifiedBy>Recco</cp:lastModifiedBy>
  <dcterms:modified xsi:type="dcterms:W3CDTF">2026-08-31T04:14:18Z</dcterms:modified>
  <dc:subject>基于期权波动率曲面与智能体的量化风控预警系统</dc:subject>
  <dc:title>曲面观策—OptionRiskAgent技术文档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eyJoZGlkIjoiYTMyY2M3YWJlNmE3MzQyNWNlNGMyMDQzNTAzZDE4MmUiLCJ1c2VySWQiOiI3MzExNTIwNTgifQ==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E70CB34A2012412CAB4E969FF2525028_12</vt:lpwstr>
  </property>
</Properties>
</file>