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Songti SC" w:hAnsi="Songti SC" w:eastAsia="Songti SC" w:cs="Songti SC"/>
          <w:b/>
          <w:color w:val="000000"/>
          <w:sz w:val="21"/>
        </w:rPr>
        <w:t>TASK2：基础诊断与技术指标分析</w:t>
      </w:r>
    </w:p>
    <w:p>
      <w:pPr>
        <w:keepNext w:val="0"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姓名：薛智鸣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本文基于 TASK2 目录下已存储的股价日线数据，完成数据诊断、RSI、MACD、布林带和扩展指标 ATR 的计算，并给出可视化结果及解读。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一、数据基础诊断分析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本次读取两份行情数据文件，字段包括开盘价、最高价、最低价、收盘价、昨收价、涨跌额、涨跌幅、成交量和成交额等。计算指标前先将交易日期转换为日期类型，并按交易日升序排列。</w:t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Songti SC" w:hAnsi="Songti SC" w:eastAsia="Songti SC" w:cs="Songti SC"/>
          <w:b w:val="0"/>
          <w:color w:val="000000"/>
          <w:sz w:val="21"/>
        </w:rPr>
        <w:t>表1 数据完整性诊断结果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W w:w="144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股票</w:t>
            </w:r>
          </w:p>
        </w:tc>
        <w:tc>
          <w:tcPr>
            <w:tcW w:type="dxa" w:w="1504"/>
            <w:tcW w:w="144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代码</w:t>
            </w:r>
          </w:p>
        </w:tc>
        <w:tc>
          <w:tcPr>
            <w:tcW w:type="dxa" w:w="1504"/>
            <w:tcW w:w="108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样本数</w:t>
            </w:r>
          </w:p>
        </w:tc>
        <w:tc>
          <w:tcPr>
            <w:tcW w:type="dxa" w:w="1504"/>
            <w:tcW w:w="288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日期范围</w:t>
            </w:r>
          </w:p>
        </w:tc>
        <w:tc>
          <w:tcPr>
            <w:tcW w:type="dxa" w:w="1504"/>
            <w:tcW w:w="1152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缺失值</w:t>
            </w:r>
          </w:p>
        </w:tc>
        <w:tc>
          <w:tcPr>
            <w:tcW w:type="dxa" w:w="1504"/>
            <w:tcW w:w="1368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重复交易日</w:t>
            </w:r>
          </w:p>
        </w:tc>
      </w:tr>
      <w:tr>
        <w:tc>
          <w:tcPr>
            <w:tcW w:type="dxa" w:w="1504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三一重工</w:t>
            </w:r>
          </w:p>
        </w:tc>
        <w:tc>
          <w:tcPr>
            <w:tcW w:type="dxa" w:w="1504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600031.SH</w:t>
            </w:r>
          </w:p>
        </w:tc>
        <w:tc>
          <w:tcPr>
            <w:tcW w:type="dxa" w:w="1504"/>
            <w:tcW w:w="10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504"/>
            <w:tcW w:w="28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2025-01-02至2025-07-16</w:t>
            </w:r>
          </w:p>
        </w:tc>
        <w:tc>
          <w:tcPr>
            <w:tcW w:type="dxa" w:w="1504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504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504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平安集团</w:t>
            </w:r>
          </w:p>
        </w:tc>
        <w:tc>
          <w:tcPr>
            <w:tcW w:type="dxa" w:w="1504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000001.SZ</w:t>
            </w:r>
          </w:p>
        </w:tc>
        <w:tc>
          <w:tcPr>
            <w:tcW w:type="dxa" w:w="1504"/>
            <w:tcW w:w="10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504"/>
            <w:tcW w:w="28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2024-01-02至2025-07-17</w:t>
            </w:r>
          </w:p>
        </w:tc>
        <w:tc>
          <w:tcPr>
            <w:tcW w:type="dxa" w:w="1504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504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</w:t>
            </w:r>
          </w:p>
        </w:tc>
      </w:tr>
    </w:tbl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诊断结果显示，两份数据均不存在缺失值和重复交易日，能够直接用于后续描述性统计和技术指标计算。需要说明的是，平安集团文件中的代码字段为 000001.SZ，本文在表格和图形中保留源文件名称与真实代码字段。</w:t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Songti SC" w:hAnsi="Songti SC" w:eastAsia="Songti SC" w:cs="Songti SC"/>
          <w:b w:val="0"/>
          <w:color w:val="000000"/>
          <w:sz w:val="21"/>
        </w:rPr>
        <w:t>表2 主要描述性统计量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W w:w="1296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股票</w:t>
            </w:r>
          </w:p>
        </w:tc>
        <w:tc>
          <w:tcPr>
            <w:tcW w:type="dxa" w:w="1289"/>
            <w:tcW w:w="1224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收盘均值</w:t>
            </w:r>
          </w:p>
        </w:tc>
        <w:tc>
          <w:tcPr>
            <w:tcW w:type="dxa" w:w="1289"/>
            <w:tcW w:w="1368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收盘标准差</w:t>
            </w:r>
          </w:p>
        </w:tc>
        <w:tc>
          <w:tcPr>
            <w:tcW w:type="dxa" w:w="1289"/>
            <w:tcW w:w="1368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收盘最小值</w:t>
            </w:r>
          </w:p>
        </w:tc>
        <w:tc>
          <w:tcPr>
            <w:tcW w:type="dxa" w:w="1289"/>
            <w:tcW w:w="1368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收盘最大值</w:t>
            </w:r>
          </w:p>
        </w:tc>
        <w:tc>
          <w:tcPr>
            <w:tcW w:type="dxa" w:w="1289"/>
            <w:tcW w:w="1512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涨跌幅均值(%)</w:t>
            </w:r>
          </w:p>
        </w:tc>
        <w:tc>
          <w:tcPr>
            <w:tcW w:type="dxa" w:w="1289"/>
            <w:tcW w:w="1512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涨跌幅标准差(%)</w:t>
            </w:r>
          </w:p>
        </w:tc>
      </w:tr>
      <w:tr>
        <w:tc>
          <w:tcPr>
            <w:tcW w:type="dxa" w:w="1289"/>
            <w:tcW w:w="1296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三一重工</w:t>
            </w:r>
          </w:p>
        </w:tc>
        <w:tc>
          <w:tcPr>
            <w:tcW w:type="dxa" w:w="1289"/>
            <w:tcW w:w="1224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18.25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1.36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15.31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20.54</w:t>
            </w:r>
          </w:p>
        </w:tc>
        <w:tc>
          <w:tcPr>
            <w:tcW w:type="dxa" w:w="1289"/>
            <w:tcW w:w="151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0.13</w:t>
            </w:r>
          </w:p>
        </w:tc>
        <w:tc>
          <w:tcPr>
            <w:tcW w:type="dxa" w:w="1289"/>
            <w:tcW w:w="151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1.68</w:t>
            </w:r>
          </w:p>
        </w:tc>
      </w:tr>
      <w:tr>
        <w:tc>
          <w:tcPr>
            <w:tcW w:type="dxa" w:w="1289"/>
            <w:tcW w:w="1296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平安集团</w:t>
            </w:r>
          </w:p>
        </w:tc>
        <w:tc>
          <w:tcPr>
            <w:tcW w:type="dxa" w:w="1289"/>
            <w:tcW w:w="1224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10.95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0.84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9.09</w:t>
            </w:r>
          </w:p>
        </w:tc>
        <w:tc>
          <w:tcPr>
            <w:tcW w:type="dxa" w:w="1289"/>
            <w:tcW w:w="1368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13.18</w:t>
            </w:r>
          </w:p>
        </w:tc>
        <w:tc>
          <w:tcPr>
            <w:tcW w:type="dxa" w:w="1289"/>
            <w:tcW w:w="151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0.12</w:t>
            </w:r>
          </w:p>
        </w:tc>
        <w:tc>
          <w:tcPr>
            <w:tcW w:type="dxa" w:w="1289"/>
            <w:tcW w:w="151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1.49</w:t>
            </w:r>
          </w:p>
        </w:tc>
      </w:tr>
    </w:tbl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从描述性统计看，三一重工样本期内收盘价均值为 18.25，收盘价标准差为 1.36；平安集团文件样本期内收盘价均值为 10.95，收盘价标准差为 0.84。涨跌幅标准差反映了日度波动水平，三一重工约为 1.68%，平安集团文件约为 1.49%。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二、RSI、MACD 和布林带的计算方法及作用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RSI 是相对强弱指标，用于衡量一段时间内上涨力度与下跌力度的相对关系，常用周期为 14。计算时先得到每日上涨幅度 Gain 和下跌幅度 Loss，再用 Wilder 平滑方法计算平均上涨和平均下跌。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Gain_t=max(Close_t-Close_(t-1),0)，Loss_t=max(Close_(t-1)-Close_t,0)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RS=AvgGain/AvgLoss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RSI=100-100/(1+RS)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RSI 取值范围为 0 到 100，通常 RSI 高于 70 表示短期偏热，低于 30 表示短期偏冷。它适合辅助观察超买超卖、动能变化和背离，但在强趋势中可能长时间停留在高位或低位。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MACD 是指数平滑异同移动平均线，常用参数为 12、26、9。它先计算 12 日 EMA 和 26 日 EMA 的差值，再对差值计算 9 日 EMA 作为信号线。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EMA_t=alpha*Close_t+(1-alpha)*EMA_(t-1)，alpha=2/(N+1)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MACD Line=EMA_12-EMA_26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Signal Line=EMA_9(MACD Line)，Histogram=MACD Line-Signal Line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MACD 主要用于判断趋势方向和动能变化。MACD 线上穿信号线通常被称为金叉，下穿信号线称为死叉；柱状图扩大说明短期动能增强，收缩说明动能减弱。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布林带由中轨、上轨和下轨组成，常用参数为 20 日均线和 2 倍标准差。它通过均线和波动率共同描述价格的相对高低。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Middle Band=SMA_20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Upper Band=SMA_20+2*Std_20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Lower Band=SMA_20-2*Std_20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Bandwidth=(Upper Band-Lower Band)/Middle Band，%B=(Close-Lower Band)/(Upper Band-Lower Band)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布林带常用于观察价格相对位置、波动率收缩或扩张，以及突破和均值回归机会。价格触及上下轨不代表一定反转，需要结合趋势、成交量或其他指标确认。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三、Python 实现与指标结果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Python 脚本 analyze_technical_indicators.py 完成了数据加载、缺失值检查、描述性统计、RSI、MACD、布林带和 ATR 的计算，并将指标明细保存为 CSV 文件，将综合可视化图形保存到 figures 目录。</w:t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Songti SC" w:hAnsi="Songti SC" w:eastAsia="Songti SC" w:cs="Songti SC"/>
          <w:b w:val="0"/>
          <w:color w:val="000000"/>
          <w:sz w:val="21"/>
        </w:rPr>
        <w:t>表3 最新交易日技术指标摘要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W w:w="1296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股票</w:t>
            </w:r>
          </w:p>
        </w:tc>
        <w:tc>
          <w:tcPr>
            <w:tcW w:type="dxa" w:w="1289"/>
            <w:tcW w:w="1655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289"/>
            <w:tcW w:w="1152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收盘价</w:t>
            </w:r>
          </w:p>
        </w:tc>
        <w:tc>
          <w:tcPr>
            <w:tcW w:type="dxa" w:w="1289"/>
            <w:tcW w:w="108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RSI14</w:t>
            </w:r>
          </w:p>
        </w:tc>
        <w:tc>
          <w:tcPr>
            <w:tcW w:type="dxa" w:w="1289"/>
            <w:tcW w:w="1224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MACD柱</w:t>
            </w:r>
          </w:p>
        </w:tc>
        <w:tc>
          <w:tcPr>
            <w:tcW w:type="dxa" w:w="1289"/>
            <w:tcW w:w="1440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布林位置</w:t>
            </w:r>
          </w:p>
        </w:tc>
        <w:tc>
          <w:tcPr>
            <w:tcW w:type="dxa" w:w="1289"/>
            <w:tcW w:w="1152" w:type="dxa"/>
            <w:shd w:fill="EDEDED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ATR14</w:t>
            </w:r>
          </w:p>
        </w:tc>
      </w:tr>
      <w:tr>
        <w:tc>
          <w:tcPr>
            <w:tcW w:type="dxa" w:w="1289"/>
            <w:tcW w:w="1296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平安集团</w:t>
            </w:r>
          </w:p>
        </w:tc>
        <w:tc>
          <w:tcPr>
            <w:tcW w:type="dxa" w:w="1289"/>
            <w:tcW w:w="1655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2025-07-17</w:t>
            </w:r>
          </w:p>
        </w:tc>
        <w:tc>
          <w:tcPr>
            <w:tcW w:type="dxa" w:w="1289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12.59</w:t>
            </w:r>
          </w:p>
        </w:tc>
        <w:tc>
          <w:tcPr>
            <w:tcW w:type="dxa" w:w="1289"/>
            <w:tcW w:w="10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56.39</w:t>
            </w:r>
          </w:p>
        </w:tc>
        <w:tc>
          <w:tcPr>
            <w:tcW w:type="dxa" w:w="1289"/>
            <w:tcW w:w="1224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-0.0185</w:t>
            </w:r>
          </w:p>
        </w:tc>
        <w:tc>
          <w:tcPr>
            <w:tcW w:type="dxa" w:w="1289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中上区间</w:t>
            </w:r>
          </w:p>
        </w:tc>
        <w:tc>
          <w:tcPr>
            <w:tcW w:type="dxa" w:w="1289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0.2607</w:t>
            </w:r>
          </w:p>
        </w:tc>
      </w:tr>
      <w:tr>
        <w:tc>
          <w:tcPr>
            <w:tcW w:type="dxa" w:w="1289"/>
            <w:tcW w:w="1296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三一重工</w:t>
            </w:r>
          </w:p>
        </w:tc>
        <w:tc>
          <w:tcPr>
            <w:tcW w:type="dxa" w:w="1289"/>
            <w:tcW w:w="1655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2025-07-16</w:t>
            </w:r>
          </w:p>
        </w:tc>
        <w:tc>
          <w:tcPr>
            <w:tcW w:type="dxa" w:w="1289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18.71</w:t>
            </w:r>
          </w:p>
        </w:tc>
        <w:tc>
          <w:tcPr>
            <w:tcW w:type="dxa" w:w="1289"/>
            <w:tcW w:w="108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55.65</w:t>
            </w:r>
          </w:p>
        </w:tc>
        <w:tc>
          <w:tcPr>
            <w:tcW w:type="dxa" w:w="1289"/>
            <w:tcW w:w="1224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0.0951</w:t>
            </w:r>
          </w:p>
        </w:tc>
        <w:tc>
          <w:tcPr>
            <w:tcW w:type="dxa" w:w="1289"/>
            <w:tcW w:w="1440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中上区间</w:t>
            </w:r>
          </w:p>
        </w:tc>
        <w:tc>
          <w:tcPr>
            <w:tcW w:type="dxa" w:w="1289"/>
            <w:tcW w:w="1152" w:type="dxa"/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0.3253</w:t>
            </w:r>
          </w:p>
        </w:tc>
      </w:tr>
    </w:tbl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从最新交易日指标看，两只股票的 RSI 均在 50 附近偏上，说明短期动能并未进入明显超买或超卖区域。平安集团文件对应代码 000001.SZ 的 MACD 柱略为负，显示短期动能较前期有所减弱；三一重工的 MACD 柱为正，显示短期修复动能仍在延续。</w:t>
      </w:r>
    </w:p>
    <w:p>
      <w:r>
        <w:br w:type="page"/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Songti SC" w:hAnsi="Songti SC" w:eastAsia="Songti SC" w:cs="Songti SC"/>
          <w:b w:val="0"/>
          <w:color w:val="000000"/>
          <w:sz w:val="21"/>
        </w:rPr>
        <w:t>图1 平安集团文件（000001.SZ）RSI、MACD、布林带和 ATR 综合图</w:t>
      </w:r>
    </w:p>
    <w:p>
      <w:r>
        <w:drawing>
          <wp:inline xmlns:a="http://schemas.openxmlformats.org/drawingml/2006/main" xmlns:pic="http://schemas.openxmlformats.org/drawingml/2006/picture">
            <wp:extent cx="5623560" cy="4418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001.SZ_technical_indic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图1显示，000001.SZ 在 2024 年 10 月附近出现快速上行，布林带明显扩张，ATR 同步抬升，说明价格波动显著放大。2025 年 4 月附近 RSI 接近或跌破 30 后价格逐步回稳；截至最后交易日，RSI 为 56.39，MACD 柱为 -0.0185，价格位于布林带中上区间，说明整体尚未进入明显超买，但短期动能略有回落。</w:t>
      </w:r>
    </w:p>
    <w:p>
      <w:r>
        <w:br w:type="page"/>
      </w:r>
    </w:p>
    <w:p>
      <w:pPr>
        <w:keepNext/>
        <w:spacing w:before="0" w:after="0" w:line="360" w:lineRule="auto"/>
        <w:ind w:firstLine="0"/>
        <w:jc w:val="center"/>
      </w:pPr>
      <w:r>
        <w:rPr>
          <w:rFonts w:ascii="Songti SC" w:hAnsi="Songti SC" w:eastAsia="Songti SC" w:cs="Songti SC"/>
          <w:b w:val="0"/>
          <w:color w:val="000000"/>
          <w:sz w:val="21"/>
        </w:rPr>
        <w:t>图2 三一重工（600031.SH）RSI、MACD、布林带和 ATR 综合图</w:t>
      </w:r>
    </w:p>
    <w:p>
      <w:r>
        <w:drawing>
          <wp:inline xmlns:a="http://schemas.openxmlformats.org/drawingml/2006/main" xmlns:pic="http://schemas.openxmlformats.org/drawingml/2006/picture">
            <wp:extent cx="5623560" cy="4418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031.SH_technical_indica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图2显示，三一重工在 2025 年 3 月前后价格快速上行，RSI 一度高于 70，MACD 位于高位且布林带扩张，反映出较强上涨动能和较高波动。随后 4 月至 6 月价格进入调整，ATR 逐步下降，说明波动收敛。截至最后交易日，RSI 为 55.65，MACD 柱为 0.0951，价格处于布林带中上区间，短期修复迹象较明显。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四、扩展指标：ATR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除 RSI、MACD 和布林带外，量化分析中还常见均线 MA/EMA、动量 Momentum/ROC、KDJ、ADX、OBV、VWAP、波动率 Volatility 和 MFI 等指标。本文选取 ATR 作为扩展指标。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ATR 即平均真实波幅，用于衡量市场真实波动幅度，不直接判断涨跌方向。真实波幅 TR 的计算同时考虑当日最高价、最低价以及前一日收盘价，能反映跳空造成的风险。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TR_t=max(High_t-Low_t, abs(High_t-Close_(t-1)), abs(Low_t-Close_(t-1)))</w:t>
      </w:r>
    </w:p>
    <w:p>
      <w:pPr>
        <w:keepNext w:val="0"/>
        <w:spacing w:before="0" w:after="0" w:line="360" w:lineRule="auto"/>
        <w:ind w:firstLine="0" w:left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ATR_t=(ATR_(t-1)*13+TR_t)/14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ATR 的作用主要包括动态止损、仓位控制和波动率过滤。例如可以用买入价减去 2 倍 ATR 作为止损参考，使止损距离随市场波动自动调整，避免固定止损在高波动阶段过窄、在低波动阶段过宽。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五、结论</w:t>
      </w:r>
    </w:p>
    <w:p>
      <w:pPr>
        <w:keepNext w:val="0"/>
        <w:spacing w:before="0" w:after="0" w:line="36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本次作业完成了两只股票日线数据的基础诊断、描述性统计、三类核心技术指标计算与可视化，并扩展计算了 ATR。总体来看，指标计算结果能够从动能、趋势和波动三个角度补充观察价格走势；但技术指标只能作为量化策略中的特征或信号来源，实际使用时仍需结合交易成本、回测检验和风险控制。</w:t>
      </w:r>
    </w:p>
    <w:p>
      <w:pPr>
        <w:keepNext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参考资料</w:t>
      </w:r>
    </w:p>
    <w:p>
      <w:pPr>
        <w:keepNext w:val="0"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Investopedia, RSI: https://www.investopedia.com/terms/r/rsi.asp</w:t>
      </w:r>
    </w:p>
    <w:p>
      <w:pPr>
        <w:keepNext w:val="0"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Investopedia, MACD: https://www.investopedia.com/terms/m/macd.asp</w:t>
      </w:r>
    </w:p>
    <w:p>
      <w:pPr>
        <w:keepNext w:val="0"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Wikipedia, Bollinger Bands: https://en.wikipedia.org/wiki/Bollinger_Bands</w:t>
      </w:r>
    </w:p>
    <w:p>
      <w:pPr>
        <w:keepNext w:val="0"/>
        <w:spacing w:before="0" w:after="0" w:line="360" w:lineRule="auto"/>
        <w:ind w:firstLine="0"/>
        <w:jc w:val="both"/>
      </w:pPr>
      <w:r>
        <w:rPr>
          <w:rFonts w:ascii="Songti SC" w:hAnsi="Songti SC" w:eastAsia="Songti SC" w:cs="Songti SC"/>
          <w:b w:val="0"/>
          <w:color w:val="000000"/>
          <w:sz w:val="21"/>
        </w:rPr>
        <w:t>Wikipedia, Average True Range: https://en.wikipedia.org/wiki/Average_true_range</w:t>
      </w:r>
    </w:p>
    <w:sectPr w:rsidR="00FC693F" w:rsidRPr="0006063C" w:rsidSect="00034616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jc w:val="center"/>
    </w:pPr>
    <w:r>
      <w:rPr>
        <w:rFonts w:ascii="Songti SC" w:hAnsi="Songti SC" w:eastAsia="Songti SC" w:cs="Songti SC"/>
        <w:b w:val="0"/>
        <w:color w:val="000000"/>
        <w:sz w:val="21"/>
      </w:rPr>
      <w:t>薛智鸣TASK2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