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E36E9" w14:textId="77777777" w:rsidR="00603DEB" w:rsidRPr="00AA5E8D" w:rsidRDefault="004F621D" w:rsidP="00AA5E8D">
      <w:pPr>
        <w:pStyle w:val="Heading1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bookmarkStart w:id="0" w:name="retiphenoage-downstream-analyses"/>
      <w:r w:rsidRPr="00AA5E8D">
        <w:rPr>
          <w:rFonts w:ascii="Times New Roman" w:hAnsi="Times New Roman" w:cs="Times New Roman"/>
          <w:sz w:val="21"/>
          <w:szCs w:val="21"/>
        </w:rPr>
        <w:t>RetiPhenoAge downstream analyses</w:t>
      </w:r>
    </w:p>
    <w:p w14:paraId="2D9D5A3E" w14:textId="77777777" w:rsidR="00603DEB" w:rsidRPr="00AA5E8D" w:rsidRDefault="004F621D" w:rsidP="00AA5E8D">
      <w:pPr>
        <w:pStyle w:val="Heading2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bookmarkStart w:id="1" w:name="overview"/>
      <w:r w:rsidRPr="00AA5E8D">
        <w:rPr>
          <w:rFonts w:ascii="Times New Roman" w:hAnsi="Times New Roman" w:cs="Times New Roman"/>
          <w:sz w:val="21"/>
          <w:szCs w:val="21"/>
        </w:rPr>
        <w:t>Overview</w:t>
      </w:r>
    </w:p>
    <w:p w14:paraId="089BCEF3" w14:textId="77777777" w:rsidR="00603DEB" w:rsidRPr="00AA5E8D" w:rsidRDefault="004F621D" w:rsidP="00AA5E8D">
      <w:pPr>
        <w:pStyle w:val="FirstParagraph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This repository contains R scripts used for downstream statistical analyses in the study:</w:t>
      </w:r>
    </w:p>
    <w:p w14:paraId="5C5EEC42" w14:textId="77777777" w:rsidR="00603DEB" w:rsidRPr="00AA5E8D" w:rsidRDefault="004F621D" w:rsidP="00AA5E8D">
      <w:pPr>
        <w:pStyle w:val="BodyText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b/>
          <w:bCs/>
          <w:sz w:val="21"/>
          <w:szCs w:val="21"/>
        </w:rPr>
        <w:t>From Human Retina to Health Risk: AI-enabled Oculomic Aging Predicts Phenomic Morbidities and Reveals Proteomic Signatures</w:t>
      </w:r>
    </w:p>
    <w:p w14:paraId="409A91B8" w14:textId="77777777" w:rsidR="00603DEB" w:rsidRPr="00AA5E8D" w:rsidRDefault="004F621D" w:rsidP="00AA5E8D">
      <w:pPr>
        <w:pStyle w:val="BodyText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RetiPhenoAge is a previously developed and externally validated deep learning–based retinal biological age biomarker. No AI model dev</w:t>
      </w:r>
      <w:r w:rsidRPr="00AA5E8D">
        <w:rPr>
          <w:rFonts w:ascii="Times New Roman" w:hAnsi="Times New Roman" w:cs="Times New Roman"/>
          <w:sz w:val="21"/>
          <w:szCs w:val="21"/>
        </w:rPr>
        <w:t>elopment or training was performed in this study. The analyses in this repository evaluate associations between RetiPhenoAge and disease outcomes, quantitative traits, and plasma proteins.</w:t>
      </w:r>
    </w:p>
    <w:p w14:paraId="04D50F59" w14:textId="11A8B1FE" w:rsidR="00603DEB" w:rsidRPr="00AA5E8D" w:rsidRDefault="00603DEB" w:rsidP="00AA5E8D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</w:p>
    <w:p w14:paraId="7CBA7217" w14:textId="77777777" w:rsidR="00603DEB" w:rsidRPr="00AA5E8D" w:rsidRDefault="004F621D" w:rsidP="00AA5E8D">
      <w:pPr>
        <w:pStyle w:val="Heading2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bookmarkStart w:id="2" w:name="contents"/>
      <w:bookmarkEnd w:id="1"/>
      <w:r w:rsidRPr="00AA5E8D">
        <w:rPr>
          <w:rFonts w:ascii="Times New Roman" w:hAnsi="Times New Roman" w:cs="Times New Roman"/>
          <w:sz w:val="21"/>
          <w:szCs w:val="21"/>
        </w:rPr>
        <w:t>Contents</w:t>
      </w:r>
    </w:p>
    <w:p w14:paraId="17B7D55E" w14:textId="77777777" w:rsidR="00603DEB" w:rsidRPr="00AA5E8D" w:rsidRDefault="004F621D" w:rsidP="00AA5E8D">
      <w:pPr>
        <w:pStyle w:val="Heading3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bookmarkStart w:id="3" w:name="phewas_ukb.r"/>
      <w:r w:rsidRPr="00AA5E8D">
        <w:rPr>
          <w:rFonts w:ascii="Times New Roman" w:hAnsi="Times New Roman" w:cs="Times New Roman"/>
          <w:sz w:val="21"/>
          <w:szCs w:val="21"/>
        </w:rPr>
        <w:t>1_PheWAS_UKB.R</w:t>
      </w:r>
    </w:p>
    <w:p w14:paraId="0281381E" w14:textId="77777777" w:rsidR="00603DEB" w:rsidRPr="00AA5E8D" w:rsidRDefault="004F621D" w:rsidP="00AA5E8D">
      <w:pPr>
        <w:pStyle w:val="FirstParagraph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Phenome-wide association analyses in UK B</w:t>
      </w:r>
      <w:r w:rsidRPr="00AA5E8D">
        <w:rPr>
          <w:rFonts w:ascii="Times New Roman" w:hAnsi="Times New Roman" w:cs="Times New Roman"/>
          <w:sz w:val="21"/>
          <w:szCs w:val="21"/>
        </w:rPr>
        <w:t>iobank.</w:t>
      </w:r>
    </w:p>
    <w:p w14:paraId="32527685" w14:textId="77777777" w:rsidR="00603DEB" w:rsidRPr="00AA5E8D" w:rsidRDefault="004F621D" w:rsidP="00AA5E8D">
      <w:pPr>
        <w:pStyle w:val="BodyText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Main procedures:</w:t>
      </w:r>
    </w:p>
    <w:p w14:paraId="209998D3" w14:textId="77777777" w:rsidR="00603DEB" w:rsidRPr="00AA5E8D" w:rsidRDefault="004F621D" w:rsidP="00AA5E8D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Incident disease analyses using Cox proportional hazards models.</w:t>
      </w:r>
    </w:p>
    <w:p w14:paraId="3F888C3A" w14:textId="77777777" w:rsidR="00603DEB" w:rsidRPr="00AA5E8D" w:rsidRDefault="004F621D" w:rsidP="00AA5E8D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Exclusion of participants with prevalent diagnoses before baseline.</w:t>
      </w:r>
    </w:p>
    <w:p w14:paraId="74786209" w14:textId="77777777" w:rsidR="00603DEB" w:rsidRPr="00AA5E8D" w:rsidRDefault="004F621D" w:rsidP="00AA5E8D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Estimation of hazard ratios and confidence intervals.</w:t>
      </w:r>
    </w:p>
    <w:p w14:paraId="4955F2B9" w14:textId="77777777" w:rsidR="00603DEB" w:rsidRPr="00AA5E8D" w:rsidRDefault="004F621D" w:rsidP="00AA5E8D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C-index and time-dependent discrimination an</w:t>
      </w:r>
      <w:r w:rsidRPr="00AA5E8D">
        <w:rPr>
          <w:rFonts w:ascii="Times New Roman" w:hAnsi="Times New Roman" w:cs="Times New Roman"/>
          <w:sz w:val="21"/>
          <w:szCs w:val="21"/>
        </w:rPr>
        <w:t>alyses.</w:t>
      </w:r>
    </w:p>
    <w:p w14:paraId="014D7C00" w14:textId="77777777" w:rsidR="00603DEB" w:rsidRPr="00AA5E8D" w:rsidRDefault="004F621D" w:rsidP="00AA5E8D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Calibration analyses.</w:t>
      </w:r>
    </w:p>
    <w:p w14:paraId="149AC8D8" w14:textId="77777777" w:rsidR="00603DEB" w:rsidRPr="00AA5E8D" w:rsidRDefault="004F621D" w:rsidP="00AA5E8D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Proportional hazards assumption testing using Schoenfeld residuals.</w:t>
      </w:r>
    </w:p>
    <w:p w14:paraId="1117CCD5" w14:textId="77777777" w:rsidR="00603DEB" w:rsidRPr="00AA5E8D" w:rsidRDefault="004F621D" w:rsidP="00AA5E8D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Restricted cubic spline analyses.</w:t>
      </w:r>
    </w:p>
    <w:p w14:paraId="5919B57F" w14:textId="77777777" w:rsidR="00603DEB" w:rsidRPr="00AA5E8D" w:rsidRDefault="004F621D" w:rsidP="00AA5E8D">
      <w:pPr>
        <w:pStyle w:val="FirstParagraph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Disease outcomes were defined using phecode-based classifications derived from linked hospital inpatient and mortality recor</w:t>
      </w:r>
      <w:r w:rsidRPr="00AA5E8D">
        <w:rPr>
          <w:rFonts w:ascii="Times New Roman" w:hAnsi="Times New Roman" w:cs="Times New Roman"/>
          <w:sz w:val="21"/>
          <w:szCs w:val="21"/>
        </w:rPr>
        <w:t>ds.</w:t>
      </w:r>
    </w:p>
    <w:p w14:paraId="4A54AE7A" w14:textId="77777777" w:rsidR="00603DEB" w:rsidRPr="00AA5E8D" w:rsidRDefault="004F621D" w:rsidP="00AA5E8D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4F621D">
        <w:rPr>
          <w:rFonts w:ascii="Times New Roman" w:hAnsi="Times New Roman" w:cs="Times New Roman"/>
          <w:noProof/>
          <w:sz w:val="21"/>
          <w:szCs w:val="21"/>
        </w:rPr>
        <w:pict w14:anchorId="40A13050">
          <v:rect id="_x0000_i1031" alt="" style="width:468pt;height:.05pt;mso-width-percent:0;mso-height-percent:0;mso-width-percent:0;mso-height-percent:0" o:hralign="center" o:hrstd="t" o:hr="t"/>
        </w:pict>
      </w:r>
    </w:p>
    <w:p w14:paraId="2DB65EAE" w14:textId="77777777" w:rsidR="00603DEB" w:rsidRPr="00AA5E8D" w:rsidRDefault="004F621D" w:rsidP="00AA5E8D">
      <w:pPr>
        <w:pStyle w:val="Heading3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bookmarkStart w:id="4" w:name="quantiative_traits_ukb.r"/>
      <w:bookmarkEnd w:id="3"/>
      <w:r w:rsidRPr="00AA5E8D">
        <w:rPr>
          <w:rFonts w:ascii="Times New Roman" w:hAnsi="Times New Roman" w:cs="Times New Roman"/>
          <w:sz w:val="21"/>
          <w:szCs w:val="21"/>
        </w:rPr>
        <w:t>2_Quantiative_traits_UKB.R</w:t>
      </w:r>
    </w:p>
    <w:p w14:paraId="485B0351" w14:textId="77777777" w:rsidR="00603DEB" w:rsidRPr="00AA5E8D" w:rsidRDefault="004F621D" w:rsidP="00AA5E8D">
      <w:pPr>
        <w:pStyle w:val="FirstParagraph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Cross-sectional analyses of quantitative traits in UK Biobank.</w:t>
      </w:r>
    </w:p>
    <w:p w14:paraId="669B068D" w14:textId="77777777" w:rsidR="00603DEB" w:rsidRPr="00AA5E8D" w:rsidRDefault="004F621D" w:rsidP="00AA5E8D">
      <w:pPr>
        <w:pStyle w:val="BodyText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Main procedures:</w:t>
      </w:r>
    </w:p>
    <w:p w14:paraId="64573E0A" w14:textId="77777777" w:rsidR="00603DEB" w:rsidRPr="00AA5E8D" w:rsidRDefault="004F621D" w:rsidP="00AA5E8D">
      <w:pPr>
        <w:pStyle w:val="Compact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Multivariable linear regression.</w:t>
      </w:r>
    </w:p>
    <w:p w14:paraId="01F3F847" w14:textId="77777777" w:rsidR="00603DEB" w:rsidRPr="00AA5E8D" w:rsidRDefault="004F621D" w:rsidP="00AA5E8D">
      <w:pPr>
        <w:pStyle w:val="Compact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Associations between RetiPhenoAge (per SD increment) and quantitative traits.</w:t>
      </w:r>
    </w:p>
    <w:p w14:paraId="07886BD3" w14:textId="77777777" w:rsidR="00603DEB" w:rsidRPr="00AA5E8D" w:rsidRDefault="004F621D" w:rsidP="00AA5E8D">
      <w:pPr>
        <w:pStyle w:val="Compact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Adjustment for demographic, life</w:t>
      </w:r>
      <w:r w:rsidRPr="00AA5E8D">
        <w:rPr>
          <w:rFonts w:ascii="Times New Roman" w:hAnsi="Times New Roman" w:cs="Times New Roman"/>
          <w:sz w:val="21"/>
          <w:szCs w:val="21"/>
        </w:rPr>
        <w:t>style, socioeconomic, medication, and clinical covariates.</w:t>
      </w:r>
    </w:p>
    <w:p w14:paraId="179D41B1" w14:textId="77777777" w:rsidR="00603DEB" w:rsidRPr="00AA5E8D" w:rsidRDefault="004F621D" w:rsidP="00AA5E8D">
      <w:pPr>
        <w:pStyle w:val="Compact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False discovery rate correction within trait categories.</w:t>
      </w:r>
    </w:p>
    <w:p w14:paraId="706002F1" w14:textId="77777777" w:rsidR="00603DEB" w:rsidRPr="00AA5E8D" w:rsidRDefault="004F621D" w:rsidP="00AA5E8D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4F621D">
        <w:rPr>
          <w:rFonts w:ascii="Times New Roman" w:hAnsi="Times New Roman" w:cs="Times New Roman"/>
          <w:noProof/>
          <w:sz w:val="21"/>
          <w:szCs w:val="21"/>
        </w:rPr>
        <w:pict w14:anchorId="3087EE25">
          <v:rect id="_x0000_i1030" alt="" style="width:468pt;height:.05pt;mso-width-percent:0;mso-height-percent:0;mso-width-percent:0;mso-height-percent:0" o:hralign="center" o:hrstd="t" o:hr="t"/>
        </w:pict>
      </w:r>
    </w:p>
    <w:p w14:paraId="2E5DC13D" w14:textId="77777777" w:rsidR="00603DEB" w:rsidRPr="00AA5E8D" w:rsidRDefault="004F621D" w:rsidP="00AA5E8D">
      <w:pPr>
        <w:pStyle w:val="Heading3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bookmarkStart w:id="5" w:name="proteomic_ukb.r"/>
      <w:bookmarkEnd w:id="4"/>
      <w:r w:rsidRPr="00AA5E8D">
        <w:rPr>
          <w:rFonts w:ascii="Times New Roman" w:hAnsi="Times New Roman" w:cs="Times New Roman"/>
          <w:sz w:val="21"/>
          <w:szCs w:val="21"/>
        </w:rPr>
        <w:t>3_Proteomic_UKB.R</w:t>
      </w:r>
    </w:p>
    <w:p w14:paraId="5DCB0FC2" w14:textId="77777777" w:rsidR="00603DEB" w:rsidRPr="00AA5E8D" w:rsidRDefault="004F621D" w:rsidP="00AA5E8D">
      <w:pPr>
        <w:pStyle w:val="FirstParagraph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Olink proteomic data preprocessing.</w:t>
      </w:r>
    </w:p>
    <w:p w14:paraId="52287412" w14:textId="77777777" w:rsidR="00603DEB" w:rsidRPr="00AA5E8D" w:rsidRDefault="004F621D" w:rsidP="00AA5E8D">
      <w:pPr>
        <w:pStyle w:val="BodyText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Main procedures:</w:t>
      </w:r>
    </w:p>
    <w:p w14:paraId="74F9B445" w14:textId="77777777" w:rsidR="00603DEB" w:rsidRPr="00AA5E8D" w:rsidRDefault="004F621D" w:rsidP="00AA5E8D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Quality control filtering.</w:t>
      </w:r>
    </w:p>
    <w:p w14:paraId="2A85C430" w14:textId="77777777" w:rsidR="00603DEB" w:rsidRPr="00AA5E8D" w:rsidRDefault="004F621D" w:rsidP="00AA5E8D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lastRenderedPageBreak/>
        <w:t>Missing-value filtering.</w:t>
      </w:r>
    </w:p>
    <w:p w14:paraId="68C4287F" w14:textId="77777777" w:rsidR="00603DEB" w:rsidRPr="00AA5E8D" w:rsidRDefault="004F621D" w:rsidP="00AA5E8D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Panel-specific processing.</w:t>
      </w:r>
    </w:p>
    <w:p w14:paraId="48527FC8" w14:textId="77777777" w:rsidR="00603DEB" w:rsidRPr="00AA5E8D" w:rsidRDefault="004F621D" w:rsidP="00AA5E8D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Yeo–Johnson normalization.</w:t>
      </w:r>
    </w:p>
    <w:p w14:paraId="1FFCE7DC" w14:textId="77777777" w:rsidR="00603DEB" w:rsidRPr="00AA5E8D" w:rsidRDefault="004F621D" w:rsidP="00AA5E8D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Multiple imputation using Amelia.</w:t>
      </w:r>
    </w:p>
    <w:p w14:paraId="4457B259" w14:textId="5D2C4074" w:rsidR="00603DEB" w:rsidRDefault="004F621D" w:rsidP="00AA5E8D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Generation of processed proteomic datasets for downstream analy</w:t>
      </w:r>
      <w:r w:rsidRPr="00AA5E8D">
        <w:rPr>
          <w:rFonts w:ascii="Times New Roman" w:hAnsi="Times New Roman" w:cs="Times New Roman"/>
          <w:sz w:val="21"/>
          <w:szCs w:val="21"/>
        </w:rPr>
        <w:t>ses.</w:t>
      </w:r>
    </w:p>
    <w:p w14:paraId="05B1832D" w14:textId="5AFA4DEB" w:rsidR="00AA5E8D" w:rsidRPr="00AA5E8D" w:rsidRDefault="00AA5E8D" w:rsidP="00AA5E8D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 w:hint="eastAsia"/>
          <w:sz w:val="21"/>
          <w:szCs w:val="21"/>
          <w:lang w:eastAsia="zh-CN"/>
        </w:rPr>
      </w:pPr>
      <w:proofErr w:type="spellStart"/>
      <w:r>
        <w:rPr>
          <w:rFonts w:ascii="Times New Roman" w:hAnsi="Times New Roman" w:cs="Times New Roman"/>
          <w:sz w:val="21"/>
          <w:szCs w:val="21"/>
          <w:lang w:eastAsia="zh-CN"/>
        </w:rPr>
        <w:t>RetiPhenoAge</w:t>
      </w:r>
      <w:proofErr w:type="spellEnd"/>
      <w:r>
        <w:rPr>
          <w:rFonts w:ascii="Times New Roman" w:hAnsi="Times New Roman" w:cs="Times New Roman"/>
          <w:sz w:val="21"/>
          <w:szCs w:val="21"/>
          <w:lang w:eastAsia="zh-CN"/>
        </w:rPr>
        <w:t xml:space="preserve"> and proteomic association analyses</w:t>
      </w:r>
    </w:p>
    <w:p w14:paraId="7361C87C" w14:textId="77777777" w:rsidR="00603DEB" w:rsidRPr="00AA5E8D" w:rsidRDefault="004F621D" w:rsidP="00AA5E8D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4F621D">
        <w:rPr>
          <w:rFonts w:ascii="Times New Roman" w:hAnsi="Times New Roman" w:cs="Times New Roman"/>
          <w:noProof/>
          <w:sz w:val="21"/>
          <w:szCs w:val="21"/>
        </w:rPr>
        <w:pict w14:anchorId="31B31329">
          <v:rect id="_x0000_i1029" alt="" style="width:468pt;height:.05pt;mso-width-percent:0;mso-height-percent:0;mso-width-percent:0;mso-height-percent:0" o:hralign="center" o:hrstd="t" o:hr="t"/>
        </w:pict>
      </w:r>
    </w:p>
    <w:p w14:paraId="09553A2E" w14:textId="77777777" w:rsidR="00603DEB" w:rsidRPr="00AA5E8D" w:rsidRDefault="004F621D" w:rsidP="00AA5E8D">
      <w:pPr>
        <w:pStyle w:val="Heading3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bookmarkStart w:id="6" w:name="seed.r"/>
      <w:bookmarkEnd w:id="5"/>
      <w:r w:rsidRPr="00AA5E8D">
        <w:rPr>
          <w:rFonts w:ascii="Times New Roman" w:hAnsi="Times New Roman" w:cs="Times New Roman"/>
          <w:sz w:val="21"/>
          <w:szCs w:val="21"/>
        </w:rPr>
        <w:t>4_SEED.R</w:t>
      </w:r>
    </w:p>
    <w:p w14:paraId="25A5B760" w14:textId="77777777" w:rsidR="00603DEB" w:rsidRPr="00AA5E8D" w:rsidRDefault="004F621D" w:rsidP="00AA5E8D">
      <w:pPr>
        <w:pStyle w:val="FirstParagraph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External replication analyses in the Singapore Epidemiology of Eye Diseases (SEED) cohort.</w:t>
      </w:r>
    </w:p>
    <w:p w14:paraId="6178AE59" w14:textId="77777777" w:rsidR="00603DEB" w:rsidRPr="00AA5E8D" w:rsidRDefault="004F621D" w:rsidP="00AA5E8D">
      <w:pPr>
        <w:pStyle w:val="BodyText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Main procedures:</w:t>
      </w:r>
    </w:p>
    <w:p w14:paraId="6DC56951" w14:textId="77777777" w:rsidR="00603DEB" w:rsidRPr="00AA5E8D" w:rsidRDefault="004F621D" w:rsidP="00AA5E8D">
      <w:pPr>
        <w:pStyle w:val="Compact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Exclusion of participants with baseline disease.</w:t>
      </w:r>
    </w:p>
    <w:p w14:paraId="49663239" w14:textId="77777777" w:rsidR="00603DEB" w:rsidRPr="00AA5E8D" w:rsidRDefault="004F621D" w:rsidP="00AA5E8D">
      <w:pPr>
        <w:pStyle w:val="Compact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Logistic regression analyses for selected incident outcomes.</w:t>
      </w:r>
    </w:p>
    <w:p w14:paraId="70A1A0D3" w14:textId="77777777" w:rsidR="00603DEB" w:rsidRPr="00AA5E8D" w:rsidRDefault="004F621D" w:rsidP="00AA5E8D">
      <w:pPr>
        <w:pStyle w:val="Compact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Estimation of odds rat</w:t>
      </w:r>
      <w:r w:rsidRPr="00AA5E8D">
        <w:rPr>
          <w:rFonts w:ascii="Times New Roman" w:hAnsi="Times New Roman" w:cs="Times New Roman"/>
          <w:sz w:val="21"/>
          <w:szCs w:val="21"/>
        </w:rPr>
        <w:t>ios and confidence intervals.</w:t>
      </w:r>
    </w:p>
    <w:p w14:paraId="03A3C2FB" w14:textId="77777777" w:rsidR="00603DEB" w:rsidRPr="00AA5E8D" w:rsidRDefault="004F621D" w:rsidP="00AA5E8D">
      <w:pPr>
        <w:pStyle w:val="Compact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Ethnicity interaction analyses.</w:t>
      </w:r>
    </w:p>
    <w:p w14:paraId="3C7BC245" w14:textId="77777777" w:rsidR="00603DEB" w:rsidRPr="00AA5E8D" w:rsidRDefault="004F621D" w:rsidP="00AA5E8D">
      <w:pPr>
        <w:pStyle w:val="Compact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Ethnicity-stratified subgroup analyses.</w:t>
      </w:r>
    </w:p>
    <w:p w14:paraId="72D8958C" w14:textId="77777777" w:rsidR="00603DEB" w:rsidRPr="00AA5E8D" w:rsidRDefault="004F621D" w:rsidP="00AA5E8D">
      <w:pPr>
        <w:pStyle w:val="FirstParagraph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Selected outcomes include diabetes, hypertension, chronic kidney disease, and hyperlipidaemia.</w:t>
      </w:r>
    </w:p>
    <w:p w14:paraId="79EE1CCF" w14:textId="77777777" w:rsidR="00603DEB" w:rsidRPr="00AA5E8D" w:rsidRDefault="004F621D" w:rsidP="00AA5E8D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4F621D">
        <w:rPr>
          <w:rFonts w:ascii="Times New Roman" w:hAnsi="Times New Roman" w:cs="Times New Roman"/>
          <w:noProof/>
          <w:sz w:val="21"/>
          <w:szCs w:val="21"/>
        </w:rPr>
        <w:pict w14:anchorId="2B3BC545">
          <v:rect id="_x0000_i1028" alt="" style="width:468pt;height:.05pt;mso-width-percent:0;mso-height-percent:0;mso-width-percent:0;mso-height-percent:0" o:hralign="center" o:hrstd="t" o:hr="t"/>
        </w:pict>
      </w:r>
    </w:p>
    <w:p w14:paraId="3ED42244" w14:textId="77777777" w:rsidR="00603DEB" w:rsidRPr="00AA5E8D" w:rsidRDefault="004F621D" w:rsidP="00AA5E8D">
      <w:pPr>
        <w:pStyle w:val="Heading2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bookmarkStart w:id="7" w:name="data-availability"/>
      <w:bookmarkEnd w:id="2"/>
      <w:bookmarkEnd w:id="6"/>
      <w:r w:rsidRPr="00AA5E8D">
        <w:rPr>
          <w:rFonts w:ascii="Times New Roman" w:hAnsi="Times New Roman" w:cs="Times New Roman"/>
          <w:sz w:val="21"/>
          <w:szCs w:val="21"/>
        </w:rPr>
        <w:t>Data availability</w:t>
      </w:r>
    </w:p>
    <w:p w14:paraId="6B336849" w14:textId="77777777" w:rsidR="00603DEB" w:rsidRPr="00AA5E8D" w:rsidRDefault="004F621D" w:rsidP="00AA5E8D">
      <w:pPr>
        <w:pStyle w:val="FirstParagraph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Participant-level UK Biobank and SEED data are not included in this repository because redistribution is restricted by data access agreements and ethical approvals.</w:t>
      </w:r>
    </w:p>
    <w:p w14:paraId="2E34B3B4" w14:textId="77777777" w:rsidR="00603DEB" w:rsidRPr="00AA5E8D" w:rsidRDefault="004F621D" w:rsidP="00AA5E8D">
      <w:pPr>
        <w:pStyle w:val="BodyText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UK Biobank data are available through application to UK Biobank:</w:t>
      </w:r>
    </w:p>
    <w:p w14:paraId="36DECB8B" w14:textId="77777777" w:rsidR="00603DEB" w:rsidRPr="00AA5E8D" w:rsidRDefault="004F621D" w:rsidP="00AA5E8D">
      <w:pPr>
        <w:pStyle w:val="BodyText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https://www.ukbiobank.ac.u</w:t>
      </w:r>
      <w:r w:rsidRPr="00AA5E8D">
        <w:rPr>
          <w:rFonts w:ascii="Times New Roman" w:hAnsi="Times New Roman" w:cs="Times New Roman"/>
          <w:sz w:val="21"/>
          <w:szCs w:val="21"/>
        </w:rPr>
        <w:t>k/</w:t>
      </w:r>
    </w:p>
    <w:p w14:paraId="1C337475" w14:textId="77777777" w:rsidR="00603DEB" w:rsidRPr="00AA5E8D" w:rsidRDefault="004F621D" w:rsidP="00AA5E8D">
      <w:pPr>
        <w:pStyle w:val="BodyText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SEED data may be requested through the Singapore Eye Research Institute subject to institutional and ethical approval requirements.</w:t>
      </w:r>
    </w:p>
    <w:p w14:paraId="7D0761A0" w14:textId="77777777" w:rsidR="00603DEB" w:rsidRPr="00AA5E8D" w:rsidRDefault="004F621D" w:rsidP="00AA5E8D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4F621D">
        <w:rPr>
          <w:rFonts w:ascii="Times New Roman" w:hAnsi="Times New Roman" w:cs="Times New Roman"/>
          <w:noProof/>
          <w:sz w:val="21"/>
          <w:szCs w:val="21"/>
        </w:rPr>
        <w:pict w14:anchorId="70B6177A">
          <v:rect id="_x0000_i1027" alt="" style="width:468pt;height:.05pt;mso-width-percent:0;mso-height-percent:0;mso-width-percent:0;mso-height-percent:0" o:hralign="center" o:hrstd="t" o:hr="t"/>
        </w:pict>
      </w:r>
    </w:p>
    <w:p w14:paraId="1F392F03" w14:textId="77777777" w:rsidR="00603DEB" w:rsidRPr="00AA5E8D" w:rsidRDefault="004F621D" w:rsidP="00AA5E8D">
      <w:pPr>
        <w:pStyle w:val="Heading2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bookmarkStart w:id="8" w:name="reproducibility"/>
      <w:bookmarkEnd w:id="7"/>
      <w:r w:rsidRPr="00AA5E8D">
        <w:rPr>
          <w:rFonts w:ascii="Times New Roman" w:hAnsi="Times New Roman" w:cs="Times New Roman"/>
          <w:sz w:val="21"/>
          <w:szCs w:val="21"/>
        </w:rPr>
        <w:t>Reproducibility</w:t>
      </w:r>
    </w:p>
    <w:p w14:paraId="6FCD518A" w14:textId="77777777" w:rsidR="00603DEB" w:rsidRPr="00AA5E8D" w:rsidRDefault="004F621D" w:rsidP="00AA5E8D">
      <w:pPr>
        <w:pStyle w:val="FirstParagraph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The scripts contain placeholder file names and paths that should be modified by approved data users.</w:t>
      </w:r>
    </w:p>
    <w:p w14:paraId="32BE17F7" w14:textId="77777777" w:rsidR="00603DEB" w:rsidRPr="00AA5E8D" w:rsidRDefault="004F621D" w:rsidP="00AA5E8D">
      <w:pPr>
        <w:pStyle w:val="BodyText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Input datasets, phenotype definitions, and covariate variables must be generated from approved UK Biobank and SEED data resources before running the script</w:t>
      </w:r>
      <w:r w:rsidRPr="00AA5E8D">
        <w:rPr>
          <w:rFonts w:ascii="Times New Roman" w:hAnsi="Times New Roman" w:cs="Times New Roman"/>
          <w:sz w:val="21"/>
          <w:szCs w:val="21"/>
        </w:rPr>
        <w:t>s.</w:t>
      </w:r>
    </w:p>
    <w:p w14:paraId="41AA29E2" w14:textId="77777777" w:rsidR="00603DEB" w:rsidRPr="00AA5E8D" w:rsidRDefault="004F621D" w:rsidP="00AA5E8D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4F621D">
        <w:rPr>
          <w:rFonts w:ascii="Times New Roman" w:hAnsi="Times New Roman" w:cs="Times New Roman"/>
          <w:noProof/>
          <w:sz w:val="21"/>
          <w:szCs w:val="21"/>
        </w:rPr>
        <w:pict w14:anchorId="2FAE4E30">
          <v:rect id="_x0000_i1026" alt="" style="width:468pt;height:.05pt;mso-width-percent:0;mso-height-percent:0;mso-width-percent:0;mso-height-percent:0" o:hralign="center" o:hrstd="t" o:hr="t"/>
        </w:pict>
      </w:r>
    </w:p>
    <w:p w14:paraId="3815A40F" w14:textId="77777777" w:rsidR="00603DEB" w:rsidRPr="00AA5E8D" w:rsidRDefault="004F621D" w:rsidP="00AA5E8D">
      <w:pPr>
        <w:pStyle w:val="Heading2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bookmarkStart w:id="9" w:name="software"/>
      <w:bookmarkEnd w:id="8"/>
      <w:r w:rsidRPr="00AA5E8D">
        <w:rPr>
          <w:rFonts w:ascii="Times New Roman" w:hAnsi="Times New Roman" w:cs="Times New Roman"/>
          <w:sz w:val="21"/>
          <w:szCs w:val="21"/>
        </w:rPr>
        <w:t>Software</w:t>
      </w:r>
    </w:p>
    <w:p w14:paraId="3143AEF0" w14:textId="77777777" w:rsidR="00603DEB" w:rsidRPr="00AA5E8D" w:rsidRDefault="004F621D" w:rsidP="00AA5E8D">
      <w:pPr>
        <w:pStyle w:val="FirstParagraph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Analyses were conducted in R.</w:t>
      </w:r>
    </w:p>
    <w:p w14:paraId="0C9AFEB7" w14:textId="77777777" w:rsidR="00603DEB" w:rsidRPr="00AA5E8D" w:rsidRDefault="004F621D" w:rsidP="00AA5E8D">
      <w:pPr>
        <w:pStyle w:val="BodyText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Key packages include:</w:t>
      </w:r>
    </w:p>
    <w:p w14:paraId="312A5792" w14:textId="77777777" w:rsidR="00603DEB" w:rsidRPr="00AA5E8D" w:rsidRDefault="004F621D" w:rsidP="00AA5E8D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survival</w:t>
      </w:r>
    </w:p>
    <w:p w14:paraId="406E5282" w14:textId="77777777" w:rsidR="00603DEB" w:rsidRPr="00AA5E8D" w:rsidRDefault="004F621D" w:rsidP="00AA5E8D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rms</w:t>
      </w:r>
    </w:p>
    <w:p w14:paraId="6360103A" w14:textId="77777777" w:rsidR="00603DEB" w:rsidRPr="00AA5E8D" w:rsidRDefault="004F621D" w:rsidP="00AA5E8D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lastRenderedPageBreak/>
        <w:t>pROC</w:t>
      </w:r>
    </w:p>
    <w:p w14:paraId="775B7A73" w14:textId="77777777" w:rsidR="00603DEB" w:rsidRPr="00AA5E8D" w:rsidRDefault="004F621D" w:rsidP="00AA5E8D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epitools</w:t>
      </w:r>
    </w:p>
    <w:p w14:paraId="0B7597E0" w14:textId="77777777" w:rsidR="00603DEB" w:rsidRPr="00AA5E8D" w:rsidRDefault="004F621D" w:rsidP="00AA5E8D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dplyr</w:t>
      </w:r>
    </w:p>
    <w:p w14:paraId="395016DC" w14:textId="77777777" w:rsidR="00603DEB" w:rsidRPr="00AA5E8D" w:rsidRDefault="004F621D" w:rsidP="00AA5E8D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purrr</w:t>
      </w:r>
    </w:p>
    <w:p w14:paraId="5089CF63" w14:textId="77777777" w:rsidR="00603DEB" w:rsidRPr="00AA5E8D" w:rsidRDefault="004F621D" w:rsidP="00AA5E8D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ggplot2</w:t>
      </w:r>
    </w:p>
    <w:p w14:paraId="51E5DE28" w14:textId="77777777" w:rsidR="00603DEB" w:rsidRPr="00AA5E8D" w:rsidRDefault="004F621D" w:rsidP="00AA5E8D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Amelia</w:t>
      </w:r>
    </w:p>
    <w:p w14:paraId="7A889286" w14:textId="77777777" w:rsidR="00603DEB" w:rsidRPr="00AA5E8D" w:rsidRDefault="004F621D" w:rsidP="00AA5E8D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bestNormalize</w:t>
      </w:r>
    </w:p>
    <w:p w14:paraId="646A1165" w14:textId="77777777" w:rsidR="00603DEB" w:rsidRPr="00AA5E8D" w:rsidRDefault="004F621D" w:rsidP="00AA5E8D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4F621D">
        <w:rPr>
          <w:rFonts w:ascii="Times New Roman" w:hAnsi="Times New Roman" w:cs="Times New Roman"/>
          <w:noProof/>
          <w:sz w:val="21"/>
          <w:szCs w:val="21"/>
        </w:rPr>
        <w:pict w14:anchorId="37E686D8">
          <v:rect id="_x0000_i1025" alt="" style="width:468pt;height:.05pt;mso-width-percent:0;mso-height-percent:0;mso-width-percent:0;mso-height-percent:0" o:hralign="center" o:hrstd="t" o:hr="t"/>
        </w:pict>
      </w:r>
    </w:p>
    <w:p w14:paraId="542A2D20" w14:textId="77777777" w:rsidR="00603DEB" w:rsidRPr="00AA5E8D" w:rsidRDefault="004F621D" w:rsidP="00AA5E8D">
      <w:pPr>
        <w:pStyle w:val="Heading2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bookmarkStart w:id="10" w:name="citation"/>
      <w:bookmarkEnd w:id="9"/>
      <w:r w:rsidRPr="00AA5E8D">
        <w:rPr>
          <w:rFonts w:ascii="Times New Roman" w:hAnsi="Times New Roman" w:cs="Times New Roman"/>
          <w:sz w:val="21"/>
          <w:szCs w:val="21"/>
        </w:rPr>
        <w:t>Citation</w:t>
      </w:r>
    </w:p>
    <w:p w14:paraId="711211DE" w14:textId="77777777" w:rsidR="00603DEB" w:rsidRPr="00AA5E8D" w:rsidRDefault="004F621D" w:rsidP="00AA5E8D">
      <w:pPr>
        <w:pStyle w:val="FirstParagraph"/>
        <w:spacing w:before="0" w:after="0" w:line="360" w:lineRule="auto"/>
        <w:rPr>
          <w:rFonts w:ascii="Times New Roman" w:hAnsi="Times New Roman" w:cs="Times New Roman"/>
          <w:sz w:val="21"/>
          <w:szCs w:val="21"/>
        </w:rPr>
      </w:pPr>
      <w:r w:rsidRPr="00AA5E8D">
        <w:rPr>
          <w:rFonts w:ascii="Times New Roman" w:hAnsi="Times New Roman" w:cs="Times New Roman"/>
          <w:sz w:val="21"/>
          <w:szCs w:val="21"/>
        </w:rPr>
        <w:t>Please cite the associated manuscript when using or referencing this repository.</w:t>
      </w:r>
      <w:bookmarkEnd w:id="0"/>
      <w:bookmarkEnd w:id="10"/>
    </w:p>
    <w:sectPr w:rsidR="00603DEB" w:rsidRPr="00AA5E8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52849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BDE12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3DEB"/>
    <w:rsid w:val="004F621D"/>
    <w:rsid w:val="00603DEB"/>
    <w:rsid w:val="00AA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C9239"/>
  <w15:docId w15:val="{2E1A0EE7-FAB6-7B4E-A80B-D3584BC81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Xue Can Can</cp:lastModifiedBy>
  <cp:revision>2</cp:revision>
  <dcterms:created xsi:type="dcterms:W3CDTF">2026-06-17T06:54:00Z</dcterms:created>
  <dcterms:modified xsi:type="dcterms:W3CDTF">2026-06-17T06:57:00Z</dcterms:modified>
</cp:coreProperties>
</file>