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7AB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bookmarkStart w:id="0" w:name="_GoBack"/>
      <w:bookmarkEnd w:id="0"/>
    </w:p>
    <w:p w14:paraId="22D4A01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440" w:firstLineChars="4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</w:pPr>
    </w:p>
    <w:p w14:paraId="6642B75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800" w:firstLineChars="5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  <w:t>构建公司级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val="en-US" w:eastAsia="zh-CN"/>
        </w:rPr>
        <w:t>大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</w:rPr>
        <w:t>模型服务层</w:t>
      </w:r>
    </w:p>
    <w:p w14:paraId="1DFAFBE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              ------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公司AI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基础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能力的核心中枢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br w:type="textWrapping"/>
      </w:r>
    </w:p>
    <w:p w14:paraId="7743DE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构建一个专门的大模型服务层符合软件工程中“分层”和“抽象”的核心原则，它通过封装复杂性、提供统一接口、集中管理最佳实践和基础设施，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将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极大地加速上层应用对AI能力的集成，提升系统的可维护性、灵活性和可靠性。它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是明显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具有显著长期收益的战略决策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也将成为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公司在深度集成AI能力时的最佳实践之一。</w:t>
      </w:r>
    </w:p>
    <w:p w14:paraId="1B61D4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这个服务层将成为公司AI能力的核心中枢，是规模化、高效、安全应用大模型和机器学习的坚实基础。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宜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尽早规划和实施。</w:t>
      </w:r>
    </w:p>
    <w:p w14:paraId="08F5A1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2B58D8F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0026905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79216F4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25C3722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20" w:firstLineChars="3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                 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val="en-US" w:eastAsia="zh-CN"/>
        </w:rPr>
        <w:t xml:space="preserve">   老 张 </w:t>
      </w:r>
    </w:p>
    <w:p w14:paraId="7D8372E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1080" w:firstLineChars="3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36"/>
          <w:szCs w:val="36"/>
          <w:shd w:val="clear" w:fill="FFFFFF"/>
          <w:lang w:val="en-US" w:eastAsia="zh-CN"/>
        </w:rPr>
        <w:t xml:space="preserve">        2025年6月25日 </w:t>
      </w:r>
    </w:p>
    <w:p w14:paraId="5EF207B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70B8F6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0A32553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42EB3B25">
      <w:pPr>
        <w:rPr>
          <w:rStyle w:val="12"/>
          <w:rFonts w:hint="eastAsia" w:cs="Times New Roman"/>
          <w:b w:val="0"/>
          <w:lang w:val="en-US" w:eastAsia="zh-CN"/>
        </w:rPr>
      </w:pPr>
      <w:r>
        <w:rPr>
          <w:rStyle w:val="12"/>
          <w:rFonts w:hint="eastAsia" w:cs="Times New Roman"/>
          <w:b w:val="0"/>
          <w:lang w:val="en-US" w:eastAsia="zh-CN"/>
        </w:rPr>
        <w:br w:type="page"/>
      </w:r>
    </w:p>
    <w:p w14:paraId="2982566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/>
          <w:lang w:val="en-US" w:eastAsia="zh-CN"/>
        </w:rPr>
      </w:pPr>
      <w:r>
        <w:rPr>
          <w:rStyle w:val="12"/>
          <w:rFonts w:hint="eastAsia" w:cs="Times New Roman"/>
          <w:b w:val="0"/>
          <w:lang w:val="en-US" w:eastAsia="zh-CN"/>
        </w:rPr>
        <w:t>目前背景情况</w:t>
      </w:r>
    </w:p>
    <w:p w14:paraId="4040E14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1、大模型API调用越来越多， 各个应用或部门或个人经常需要申请充值</w:t>
      </w:r>
    </w:p>
    <w:p w14:paraId="38CFE5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2、大模型及传统ML模型混合解决的场景越来越多</w:t>
      </w:r>
    </w:p>
    <w:p w14:paraId="1FA793D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3、每个开发人员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需处理不同模型API的细微差异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需要自己从头实现模型调用、错误处理、重试逻辑等。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内耗及隐形成本太高</w:t>
      </w:r>
    </w:p>
    <w:p w14:paraId="20EA50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4、各个应用或项目成员需要自己运维保障大模型及传统ML模型的正常调用</w:t>
      </w:r>
    </w:p>
    <w:p w14:paraId="7F4CE4A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 w14:paraId="09CEACB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从公司软件体系、研发效率、运维及成本管理角度， 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构建公司级大模型服务层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成为提上日程的课题</w:t>
      </w:r>
    </w:p>
    <w:p w14:paraId="755C348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2"/>
          <w:rFonts w:hint="eastAsia" w:cs="Times New Roman"/>
          <w:b w:val="0"/>
          <w:lang w:val="en-US" w:eastAsia="zh-CN"/>
        </w:rPr>
      </w:pPr>
    </w:p>
    <w:p w14:paraId="65BE2304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2"/>
          <w:rFonts w:hint="default" w:cs="Times New Roman"/>
          <w:b w:val="0"/>
          <w:lang w:val="en-US" w:eastAsia="zh-CN"/>
        </w:rPr>
      </w:pPr>
      <w:r>
        <w:rPr>
          <w:rStyle w:val="12"/>
          <w:rFonts w:hint="eastAsia" w:cs="Times New Roman"/>
          <w:b w:val="0"/>
          <w:lang w:val="en-US" w:eastAsia="zh-CN"/>
        </w:rPr>
        <w:t>一、必要性</w:t>
      </w:r>
    </w:p>
    <w:p w14:paraId="1D075BF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1.  降低上层应用复杂度：</w:t>
      </w:r>
    </w:p>
    <w:p w14:paraId="2FB1C09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屏蔽底层细节： 上层开发者无需关心调用的是GPT-4、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deepseek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、Gemini、文心一言还是本地部署的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智研大模型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，也无需处理不同模型API的细微差异（参数命名、认证方式、返回格式等）。</w:t>
      </w:r>
    </w:p>
    <w:p w14:paraId="2B3DEB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统一接口： 提供一套简洁、一致、公司内部标准的API接口，极大简化上层应用的集成工作。</w:t>
      </w:r>
    </w:p>
    <w:p w14:paraId="426228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2.  提高开发效率与一致性：</w:t>
      </w:r>
    </w:p>
    <w:p w14:paraId="5608043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避免重复造轮子： 每个应用项目不需要自己从头实现模型调用、错误处理、重试逻辑等。</w:t>
      </w:r>
    </w:p>
    <w:p w14:paraId="528715B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集中最佳实践： 可以在服务层统一实现提示词工程模板、输出格式约束等通用功能。</w:t>
      </w:r>
    </w:p>
    <w:p w14:paraId="018097B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标准化： 确保不同应用调用AI的方式、日志记录、监控指标是一致的。</w:t>
      </w:r>
    </w:p>
    <w:p w14:paraId="2E7D753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3.  增强灵活性与可维护性：</w:t>
      </w:r>
    </w:p>
    <w:p w14:paraId="4CFA8F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模型切换/升级透明化： 当需要更换底层模型供应商或升级模型版本时，只需在服务层内部修改适配器，上层应用几乎无需改动。</w:t>
      </w:r>
    </w:p>
    <w:p w14:paraId="3DD741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成本与负载管理： 可以在服务层集中实现负载均衡、流量控制、按模型/应用的成本核算和预算控制。</w:t>
      </w:r>
    </w:p>
    <w:p w14:paraId="79900D7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模型路由： 根据请求内容、成本、性能要求智能路由到最合适的模型（甚至混合模型策略）。</w:t>
      </w:r>
    </w:p>
    <w:p w14:paraId="0C38637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4.  提升可靠性与健壮性：</w:t>
      </w:r>
    </w:p>
    <w:p w14:paraId="1536A3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集中错误处理与重试： 统一处理网络错误、模型API限流、服务不可用等情况，实现健壮的重试和回退策略（如主模型失败切备用模型）。</w:t>
      </w:r>
    </w:p>
    <w:p w14:paraId="05D7E34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熔断与降级： 实现熔断机制防止下游模型服务故障拖垮整个应用，并在必要时提供优雅降级方案。</w:t>
      </w:r>
    </w:p>
    <w:p w14:paraId="5C19578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2"/>
          <w:rFonts w:hint="eastAsia" w:cs="Times New Roman"/>
          <w:b w:val="0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集中监控与告警： 对服务层的调用量、延迟、错误率、模型成本等进行统一监控和告警。</w:t>
      </w:r>
      <w:r>
        <w:rPr>
          <w:rStyle w:val="12"/>
          <w:rFonts w:hint="eastAsia" w:cs="Times New Roman"/>
          <w:b w:val="0"/>
          <w:lang w:val="en-US" w:eastAsia="zh-CN"/>
        </w:rPr>
        <w:br w:type="page"/>
      </w:r>
    </w:p>
    <w:p w14:paraId="3ACE995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2"/>
          <w:rFonts w:hint="default" w:cs="Times New Roman"/>
          <w:b w:val="0"/>
          <w:lang w:val="en-US" w:eastAsia="zh-CN"/>
        </w:rPr>
      </w:pPr>
      <w:r>
        <w:rPr>
          <w:rStyle w:val="12"/>
          <w:rFonts w:hint="eastAsia" w:cs="Times New Roman"/>
          <w:b w:val="0"/>
          <w:lang w:val="en-US" w:eastAsia="zh-CN"/>
        </w:rPr>
        <w:t>二、主要内容</w:t>
      </w:r>
    </w:p>
    <w:p w14:paraId="0B145CC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1.  功能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性</w:t>
      </w:r>
    </w:p>
    <w:p w14:paraId="4B6627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API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接口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： 标准的API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接口， 按【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内容提取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打标签、生成任务、事件抽取、向量生成、............................等】分类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。</w:t>
      </w:r>
    </w:p>
    <w:p w14:paraId="52B5BD3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default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API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接口实现主逻辑： 主选大模型，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传统ML模型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作为热备</w:t>
      </w:r>
    </w:p>
    <w:p w14:paraId="675586B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0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模型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池以及自动调度、并发、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管理： 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统一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实现模型调用、错误处理、重试逻辑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，</w:t>
      </w:r>
    </w:p>
    <w:p w14:paraId="0502E1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根据策略（模型能力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成本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等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匹配）将请求分发到不同的模型实例。</w:t>
      </w:r>
    </w:p>
    <w:p w14:paraId="4B6CD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提示词管理： （推荐）存储和管理可复用的提示词模板，支持变量插值。</w:t>
      </w:r>
    </w:p>
    <w:p w14:paraId="6D1045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传统ML模型服务： 集成公司已有的非LLM机器学习模型预测服务（如分类、回归、推荐）。    </w:t>
      </w:r>
    </w:p>
    <w:p w14:paraId="5280A8F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5DE080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>.  非功能性</w:t>
      </w:r>
      <w:r>
        <w:rPr>
          <w:rFonts w:hint="eastAsia" w:ascii="Segoe UI" w:hAnsi="Segoe UI" w:eastAsia="宋体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43BF761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可观测性： 完善的日志记录（请求/响应元数据）、指标监控（延迟、QPS、错误率、模型调用分布）。</w:t>
      </w:r>
    </w:p>
    <w:p w14:paraId="276EAEC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  <w:t xml:space="preserve">    成本管理： 记录每次调用使用的模型和Token消耗（估算），按应用/用户聚合成本。</w:t>
      </w:r>
    </w:p>
    <w:p w14:paraId="6B9CB7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68759D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</w:rPr>
      </w:pPr>
    </w:p>
    <w:p w14:paraId="6AC85A0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2"/>
          <w:rFonts w:hint="default" w:cs="Times New Roman"/>
          <w:b w:val="0"/>
          <w:lang w:val="en-US" w:eastAsia="zh-CN"/>
        </w:rPr>
      </w:pPr>
    </w:p>
    <w:p w14:paraId="2445534B">
      <w:pPr>
        <w:rPr>
          <w:rStyle w:val="12"/>
          <w:rFonts w:hint="eastAsia" w:cs="Times New Roman"/>
          <w:b w:val="0"/>
          <w:lang w:val="en-US" w:eastAsia="zh-CN"/>
        </w:rPr>
      </w:pPr>
      <w:r>
        <w:rPr>
          <w:rStyle w:val="12"/>
          <w:rFonts w:hint="eastAsia" w:cs="Times New Roman"/>
          <w:b w:val="0"/>
          <w:lang w:val="en-US" w:eastAsia="zh-CN"/>
        </w:rPr>
        <w:br w:type="page"/>
      </w:r>
    </w:p>
    <w:p w14:paraId="375D9B6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2"/>
          <w:rFonts w:hint="default" w:cs="Times New Roman"/>
          <w:b w:val="0"/>
          <w:lang w:val="en-US" w:eastAsia="zh-CN"/>
        </w:rPr>
      </w:pPr>
      <w:r>
        <w:rPr>
          <w:rStyle w:val="12"/>
          <w:rFonts w:hint="eastAsia" w:cs="Times New Roman"/>
          <w:b w:val="0"/>
          <w:lang w:val="en-US" w:eastAsia="zh-CN"/>
        </w:rPr>
        <w:t>三、</w:t>
      </w:r>
      <w:r>
        <w:rPr>
          <w:rStyle w:val="12"/>
          <w:rFonts w:hint="default" w:cs="Times New Roman"/>
          <w:b w:val="0"/>
          <w:lang w:val="en-US" w:eastAsia="zh-CN"/>
        </w:rPr>
        <w:t>总体架构设计</w:t>
      </w:r>
    </w:p>
    <w:p w14:paraId="5AF3DBE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整合了统一接口、模型路由、Fallback机制及传统ML集成能力，满足企业级生产需求</w:t>
      </w:r>
      <w: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。</w:t>
      </w:r>
    </w:p>
    <w:p w14:paraId="13899B1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  <w:t>关键设计原则：通过抽象层向上提供一致性体验，向下管理多样性基础设施。将变化封装在适配器内部，使上层应用免受AI技术栈快速迭代的冲击。</w:t>
      </w:r>
    </w:p>
    <w:p w14:paraId="00C5B8B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 w14:paraId="0048769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  <w:r>
        <w:drawing>
          <wp:inline distT="0" distB="0" distL="114300" distR="114300">
            <wp:extent cx="5271135" cy="3883025"/>
            <wp:effectExtent l="0" t="0" r="5715" b="317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8849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4"/>
          <w:szCs w:val="24"/>
          <w:shd w:val="clear" w:fill="FFFFFF"/>
          <w:lang w:val="en-US" w:eastAsia="zh-CN"/>
        </w:rPr>
      </w:pPr>
    </w:p>
    <w:p w14:paraId="5EBD7AC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6F63"/>
    <w:rsid w:val="01A324E9"/>
    <w:rsid w:val="01E274B5"/>
    <w:rsid w:val="038A1E69"/>
    <w:rsid w:val="03960557"/>
    <w:rsid w:val="04122DBB"/>
    <w:rsid w:val="04E91C58"/>
    <w:rsid w:val="07747958"/>
    <w:rsid w:val="07F43A9E"/>
    <w:rsid w:val="097D20E4"/>
    <w:rsid w:val="0BAD426B"/>
    <w:rsid w:val="0D0E5DE2"/>
    <w:rsid w:val="0E643D85"/>
    <w:rsid w:val="0ECB10C2"/>
    <w:rsid w:val="0F11420A"/>
    <w:rsid w:val="10D759EA"/>
    <w:rsid w:val="11433768"/>
    <w:rsid w:val="126057CA"/>
    <w:rsid w:val="12BA4E64"/>
    <w:rsid w:val="13847DC5"/>
    <w:rsid w:val="13B55464"/>
    <w:rsid w:val="13F254C9"/>
    <w:rsid w:val="143769B9"/>
    <w:rsid w:val="17C31A81"/>
    <w:rsid w:val="1807292D"/>
    <w:rsid w:val="1943335F"/>
    <w:rsid w:val="19674BBB"/>
    <w:rsid w:val="19AC652F"/>
    <w:rsid w:val="19E03E83"/>
    <w:rsid w:val="1A7863C2"/>
    <w:rsid w:val="1C297D63"/>
    <w:rsid w:val="1C8B457A"/>
    <w:rsid w:val="1D5C114E"/>
    <w:rsid w:val="1DB93368"/>
    <w:rsid w:val="1E2A322D"/>
    <w:rsid w:val="1EF12943"/>
    <w:rsid w:val="1F8E612F"/>
    <w:rsid w:val="20BC398C"/>
    <w:rsid w:val="214B077B"/>
    <w:rsid w:val="215F0523"/>
    <w:rsid w:val="220A4192"/>
    <w:rsid w:val="237B1337"/>
    <w:rsid w:val="28AE60E6"/>
    <w:rsid w:val="2AEB5F3C"/>
    <w:rsid w:val="2B2E2F42"/>
    <w:rsid w:val="2B9401B4"/>
    <w:rsid w:val="2BB50A32"/>
    <w:rsid w:val="2D17291F"/>
    <w:rsid w:val="2D665B7C"/>
    <w:rsid w:val="2EE1106B"/>
    <w:rsid w:val="3110440D"/>
    <w:rsid w:val="31140460"/>
    <w:rsid w:val="33A671CE"/>
    <w:rsid w:val="347F41EF"/>
    <w:rsid w:val="35C0351B"/>
    <w:rsid w:val="38BB232A"/>
    <w:rsid w:val="3A5E4C24"/>
    <w:rsid w:val="3A7A561D"/>
    <w:rsid w:val="3D3B223E"/>
    <w:rsid w:val="3DBD6105"/>
    <w:rsid w:val="3DD34351"/>
    <w:rsid w:val="3EB70DA6"/>
    <w:rsid w:val="409A6CEC"/>
    <w:rsid w:val="40C075C9"/>
    <w:rsid w:val="437370A0"/>
    <w:rsid w:val="43C36785"/>
    <w:rsid w:val="463204F0"/>
    <w:rsid w:val="467A4CA0"/>
    <w:rsid w:val="47096CF1"/>
    <w:rsid w:val="48035120"/>
    <w:rsid w:val="482C2540"/>
    <w:rsid w:val="48FD7CFE"/>
    <w:rsid w:val="4AB61513"/>
    <w:rsid w:val="4BF90265"/>
    <w:rsid w:val="4D2E0486"/>
    <w:rsid w:val="4D963ED2"/>
    <w:rsid w:val="501739CD"/>
    <w:rsid w:val="51156787"/>
    <w:rsid w:val="51B43D99"/>
    <w:rsid w:val="54453289"/>
    <w:rsid w:val="54FD6BF4"/>
    <w:rsid w:val="558D41B7"/>
    <w:rsid w:val="5768315D"/>
    <w:rsid w:val="581450C2"/>
    <w:rsid w:val="582A03F0"/>
    <w:rsid w:val="585D4315"/>
    <w:rsid w:val="5A594B73"/>
    <w:rsid w:val="5B6845BA"/>
    <w:rsid w:val="5B6F02E9"/>
    <w:rsid w:val="5B891A04"/>
    <w:rsid w:val="5BBB13F1"/>
    <w:rsid w:val="5CE060C2"/>
    <w:rsid w:val="606173FD"/>
    <w:rsid w:val="60737CCE"/>
    <w:rsid w:val="621A142C"/>
    <w:rsid w:val="62B80AC5"/>
    <w:rsid w:val="62D47AE0"/>
    <w:rsid w:val="63985891"/>
    <w:rsid w:val="639F1C85"/>
    <w:rsid w:val="64153CF6"/>
    <w:rsid w:val="641A4C29"/>
    <w:rsid w:val="66651FD6"/>
    <w:rsid w:val="6739383E"/>
    <w:rsid w:val="6A0A597F"/>
    <w:rsid w:val="6B4F53E9"/>
    <w:rsid w:val="6CB92383"/>
    <w:rsid w:val="6DF50CB5"/>
    <w:rsid w:val="6F0A44E5"/>
    <w:rsid w:val="6F477302"/>
    <w:rsid w:val="70E6368D"/>
    <w:rsid w:val="71517EBF"/>
    <w:rsid w:val="724E2C34"/>
    <w:rsid w:val="724E341D"/>
    <w:rsid w:val="72A42E14"/>
    <w:rsid w:val="758715EC"/>
    <w:rsid w:val="762A22B4"/>
    <w:rsid w:val="781B5927"/>
    <w:rsid w:val="786E7459"/>
    <w:rsid w:val="7879089F"/>
    <w:rsid w:val="798C7179"/>
    <w:rsid w:val="7A841815"/>
    <w:rsid w:val="7BB8391B"/>
    <w:rsid w:val="7C23503C"/>
    <w:rsid w:val="7CC0102A"/>
    <w:rsid w:val="7E072B9C"/>
    <w:rsid w:val="7E816267"/>
    <w:rsid w:val="7FDE3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rPr>
      <w:sz w:val="24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2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1384</Words>
  <Characters>1484</Characters>
  <Lines>0</Lines>
  <Paragraphs>0</Paragraphs>
  <TotalTime>3158</TotalTime>
  <ScaleCrop>false</ScaleCrop>
  <LinksUpToDate>false</LinksUpToDate>
  <CharactersWithSpaces>1628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2025-05-27T06:08:00Z</dcterms:created>
  <dc:creator>EDY</dc:creator>
  <cp:lastModifiedBy>彪</cp:lastModifiedBy>
  <cp:lastPrinted>2025-06-19T09:09:00Z</cp:lastPrinted>
  <dcterms:modified xsi:type="dcterms:W3CDTF">2025-08-09T10:55:56Z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eyJoZGlkIjoiMDU4NmQ4ZGNjMTEwZjg5MmVlM2QxY2NkZTE2NzJhZjYiLCJ1c2VySWQiOiI1Njk4NzkwMzAifQ==</vt:lpwstr>
  </property>
  <property fmtid="{D5CDD505-2E9C-101B-9397-08002B2CF9AE}" pid="4" name="ICV">
    <vt:lpwstr>F2DCED26A269420B8024759061B4AAE4_13</vt:lpwstr>
  </property>
</Properties>
</file>