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0958B" w14:textId="77777777" w:rsidR="006A3741" w:rsidRDefault="006A3741" w:rsidP="006A3741">
      <w:pPr>
        <w:spacing w:line="360" w:lineRule="auto"/>
      </w:pPr>
      <w:r>
        <w:rPr>
          <w:rFonts w:hint="eastAsia"/>
        </w:rPr>
        <w:t>首先利用传统的人均商业面积进行计算，人均商业面积的标准为</w:t>
      </w:r>
      <w:r>
        <w:rPr>
          <w:rFonts w:hint="eastAsia"/>
        </w:rPr>
        <w:t xml:space="preserve">1 </w:t>
      </w:r>
      <w:r>
        <w:rPr>
          <w:rFonts w:hint="eastAsia"/>
        </w:rPr>
        <w:t>～</w:t>
      </w:r>
      <w:r>
        <w:rPr>
          <w:rFonts w:hint="eastAsia"/>
        </w:rPr>
        <w:t xml:space="preserve"> 1</w:t>
      </w:r>
      <w:r>
        <w:rPr>
          <w:rFonts w:hint="eastAsia"/>
        </w:rPr>
        <w:t>．</w:t>
      </w:r>
      <w:r>
        <w:rPr>
          <w:rFonts w:hint="eastAsia"/>
        </w:rPr>
        <w:t xml:space="preserve">2 </w:t>
      </w:r>
      <w:r>
        <w:rPr>
          <w:rFonts w:hint="eastAsia"/>
        </w:rPr>
        <w:t>平方米</w:t>
      </w:r>
      <w:r>
        <w:rPr>
          <w:rFonts w:hint="eastAsia"/>
        </w:rPr>
        <w:t xml:space="preserve">/ </w:t>
      </w:r>
      <w:r>
        <w:rPr>
          <w:rFonts w:hint="eastAsia"/>
        </w:rPr>
        <w:t>人。根据城市发展程度的不同，对于商业面积的需求也不一样，合理的人均商业面积为</w:t>
      </w:r>
      <w:r>
        <w:rPr>
          <w:rFonts w:hint="eastAsia"/>
        </w:rPr>
        <w:t xml:space="preserve">: </w:t>
      </w:r>
      <w:r>
        <w:rPr>
          <w:rFonts w:hint="eastAsia"/>
        </w:rPr>
        <w:t>一线城市应为</w:t>
      </w:r>
      <w:r>
        <w:rPr>
          <w:rFonts w:hint="eastAsia"/>
        </w:rPr>
        <w:t xml:space="preserve">1 </w:t>
      </w:r>
      <w:r>
        <w:rPr>
          <w:rFonts w:hint="eastAsia"/>
        </w:rPr>
        <w:t>平方米，二线城市</w:t>
      </w:r>
      <w:r>
        <w:rPr>
          <w:rFonts w:hint="eastAsia"/>
        </w:rPr>
        <w:t xml:space="preserve">0.75 </w:t>
      </w:r>
      <w:r>
        <w:rPr>
          <w:rFonts w:hint="eastAsia"/>
        </w:rPr>
        <w:t>平方米，三线城市</w:t>
      </w:r>
      <w:r>
        <w:rPr>
          <w:rFonts w:hint="eastAsia"/>
        </w:rPr>
        <w:t xml:space="preserve">0.5 </w:t>
      </w:r>
      <w:r>
        <w:rPr>
          <w:rFonts w:hint="eastAsia"/>
        </w:rPr>
        <w:t>平方米。这里的人均商业面积实际上指的是人均大型零售机构面积，并不是指全部的商业面积。根据</w:t>
      </w:r>
      <w:r>
        <w:rPr>
          <w:rFonts w:hint="eastAsia"/>
        </w:rPr>
        <w:t>2018</w:t>
      </w:r>
      <w:r>
        <w:rPr>
          <w:rFonts w:hint="eastAsia"/>
        </w:rPr>
        <w:t>年一线城市排名表，重庆属于一线城市，而厦门属于二线城市。</w:t>
      </w:r>
    </w:p>
    <w:p w14:paraId="5B65C571" w14:textId="77777777" w:rsidR="006A3741" w:rsidRDefault="006A3741" w:rsidP="006A3741">
      <w:pPr>
        <w:spacing w:line="360" w:lineRule="auto"/>
      </w:pPr>
      <w:r>
        <w:rPr>
          <w:rFonts w:hint="eastAsia"/>
        </w:rPr>
        <w:tab/>
      </w:r>
      <w:r>
        <w:rPr>
          <w:rFonts w:hint="eastAsia"/>
        </w:rPr>
        <w:t>其次利用问卷估计受访地区居民家庭的有购买力与单位商业面积销售额之比来获得衡量城市最大可承受商业面积的指标。其中，城市居民购买力又包括两层含义，一是城市游客最大有效购买力，是指游客在本城市购买力。其计算流程如下：</w:t>
      </w:r>
    </w:p>
    <w:p w14:paraId="6A5478FC" w14:textId="77777777" w:rsidR="006A3741" w:rsidRDefault="006A3741" w:rsidP="006A3741">
      <w:pPr>
        <w:spacing w:line="360" w:lineRule="auto"/>
        <w:ind w:firstLine="420"/>
      </w:pPr>
      <w:r>
        <w:rPr>
          <w:rFonts w:hint="eastAsia"/>
        </w:rPr>
        <w:t>如果假设城市总游客家庭为</w:t>
      </w:r>
      <w:r>
        <w:rPr>
          <w:rFonts w:hint="eastAsia"/>
        </w:rPr>
        <w:t>F</w:t>
      </w:r>
      <w:r>
        <w:rPr>
          <w:rFonts w:hint="eastAsia"/>
        </w:rPr>
        <w:t>，代表家庭数，</w:t>
      </w:r>
      <w:r>
        <w:rPr>
          <w:rFonts w:hint="eastAsia"/>
        </w:rPr>
        <w:t>Hj</w:t>
      </w:r>
      <w:r>
        <w:rPr>
          <w:rFonts w:hint="eastAsia"/>
        </w:rPr>
        <w:t>为游客家庭在</w:t>
      </w:r>
      <w:r>
        <w:rPr>
          <w:rFonts w:hint="eastAsia"/>
        </w:rPr>
        <w:t xml:space="preserve">j </w:t>
      </w:r>
      <w:r>
        <w:rPr>
          <w:rFonts w:hint="eastAsia"/>
        </w:rPr>
        <w:t>商品或服务上的平均支出。根据以上两个数据，可以计算该地区旅游有效购买力，用</w:t>
      </w:r>
      <w:r>
        <w:rPr>
          <w:rFonts w:hint="eastAsia"/>
        </w:rPr>
        <w:t xml:space="preserve">P </w:t>
      </w:r>
      <w:r>
        <w:rPr>
          <w:rFonts w:hint="eastAsia"/>
        </w:rPr>
        <w:t>表示，</w:t>
      </w:r>
    </w:p>
    <w:p w14:paraId="45B23BD4" w14:textId="1ACFFF1F" w:rsidR="006A3741" w:rsidRDefault="006A3741" w:rsidP="006A3741">
      <w:pPr>
        <w:spacing w:line="360" w:lineRule="auto"/>
        <w:jc w:val="center"/>
      </w:pPr>
      <w:r>
        <w:rPr>
          <w:noProof/>
        </w:rPr>
        <w:drawing>
          <wp:inline distT="0" distB="0" distL="0" distR="0" wp14:anchorId="7ED87FED" wp14:editId="7B08C73A">
            <wp:extent cx="2381250" cy="552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552450"/>
                    </a:xfrm>
                    <a:prstGeom prst="rect">
                      <a:avLst/>
                    </a:prstGeom>
                    <a:noFill/>
                    <a:ln>
                      <a:noFill/>
                    </a:ln>
                  </pic:spPr>
                </pic:pic>
              </a:graphicData>
            </a:graphic>
          </wp:inline>
        </w:drawing>
      </w:r>
    </w:p>
    <w:p w14:paraId="61AE1D83" w14:textId="77777777" w:rsidR="006A3741" w:rsidRDefault="006A3741" w:rsidP="006A3741">
      <w:pPr>
        <w:spacing w:line="360" w:lineRule="auto"/>
        <w:ind w:firstLine="420"/>
      </w:pPr>
      <w:r>
        <w:rPr>
          <w:rFonts w:hint="eastAsia"/>
        </w:rPr>
        <w:t>考虑到旅客家庭消费的差异性与多样性，因此在测算中使用家庭零售业消费占家庭总收入的比率相对较为容易，其公式为</w:t>
      </w:r>
      <w:r>
        <w:rPr>
          <w:rFonts w:hint="eastAsia"/>
        </w:rPr>
        <w:t>:</w:t>
      </w:r>
    </w:p>
    <w:p w14:paraId="6FAF2133" w14:textId="0F4D0C92" w:rsidR="006A3741" w:rsidRDefault="006A3741" w:rsidP="006A3741">
      <w:pPr>
        <w:spacing w:line="360" w:lineRule="auto"/>
        <w:jc w:val="center"/>
      </w:pPr>
      <w:r>
        <w:rPr>
          <w:rFonts w:hint="eastAsia"/>
        </w:rPr>
        <w:t>NPC</w:t>
      </w:r>
      <w:r w:rsidR="00BD5896">
        <w:rPr>
          <w:rFonts w:hint="eastAsia"/>
        </w:rPr>
        <w:t>R</w:t>
      </w:r>
      <w:r>
        <w:rPr>
          <w:rFonts w:hint="eastAsia"/>
        </w:rPr>
        <w:t xml:space="preserve"> = F </w:t>
      </w:r>
      <w:r>
        <w:rPr>
          <w:rFonts w:hint="eastAsia"/>
        </w:rPr>
        <w:t>×</w:t>
      </w:r>
      <w:r>
        <w:rPr>
          <w:rFonts w:hint="eastAsia"/>
        </w:rPr>
        <w:t xml:space="preserve"> Income </w:t>
      </w:r>
      <w:r>
        <w:rPr>
          <w:rFonts w:hint="eastAsia"/>
        </w:rPr>
        <w:t>×</w:t>
      </w:r>
      <w:r>
        <w:rPr>
          <w:rFonts w:hint="eastAsia"/>
        </w:rPr>
        <w:t xml:space="preserve"> </w:t>
      </w:r>
      <w:r>
        <w:rPr>
          <w:rFonts w:hint="eastAsia"/>
        </w:rPr>
        <w:t>Ｒ</w:t>
      </w:r>
    </w:p>
    <w:p w14:paraId="2C998FF9" w14:textId="77777777" w:rsidR="006A3741" w:rsidRDefault="006A3741" w:rsidP="006A3741">
      <w:pPr>
        <w:spacing w:line="360" w:lineRule="auto"/>
        <w:ind w:firstLine="420"/>
      </w:pPr>
      <w:r>
        <w:rPr>
          <w:rFonts w:hint="eastAsia"/>
        </w:rPr>
        <w:t>测算城市最大理论可承受的商业面积规模计算公式为</w:t>
      </w:r>
      <w:r>
        <w:rPr>
          <w:rFonts w:hint="eastAsia"/>
        </w:rPr>
        <w:t>:</w:t>
      </w:r>
    </w:p>
    <w:p w14:paraId="1A351368" w14:textId="77777777" w:rsidR="006A3741" w:rsidRDefault="006A3741" w:rsidP="006A3741">
      <w:pPr>
        <w:spacing w:line="360" w:lineRule="auto"/>
        <w:jc w:val="center"/>
      </w:pPr>
      <w:r>
        <w:rPr>
          <w:rFonts w:hint="eastAsia"/>
        </w:rPr>
        <w:t xml:space="preserve">S = NPCR </w:t>
      </w:r>
      <w:r>
        <w:rPr>
          <w:rFonts w:hint="eastAsia"/>
        </w:rPr>
        <w:t>÷</w:t>
      </w:r>
      <w:r>
        <w:rPr>
          <w:rFonts w:hint="eastAsia"/>
        </w:rPr>
        <w:t xml:space="preserve"> AS</w:t>
      </w:r>
    </w:p>
    <w:p w14:paraId="01364F5B" w14:textId="77777777" w:rsidR="006A3741" w:rsidRDefault="006A3741" w:rsidP="006A3741">
      <w:pPr>
        <w:spacing w:line="360" w:lineRule="auto"/>
        <w:ind w:firstLine="420"/>
      </w:pPr>
      <w:r>
        <w:rPr>
          <w:rFonts w:hint="eastAsia"/>
        </w:rPr>
        <w:t>其中</w:t>
      </w:r>
      <w:r>
        <w:rPr>
          <w:rFonts w:hint="eastAsia"/>
        </w:rPr>
        <w:t xml:space="preserve">S </w:t>
      </w:r>
      <w:r>
        <w:rPr>
          <w:rFonts w:hint="eastAsia"/>
        </w:rPr>
        <w:t>为商业面积，</w:t>
      </w:r>
      <w:r>
        <w:rPr>
          <w:rFonts w:hint="eastAsia"/>
        </w:rPr>
        <w:t xml:space="preserve">NPCR </w:t>
      </w:r>
      <w:r>
        <w:rPr>
          <w:rFonts w:hint="eastAsia"/>
        </w:rPr>
        <w:t>为城市居民最大有效购买力，</w:t>
      </w:r>
      <w:r>
        <w:rPr>
          <w:rFonts w:hint="eastAsia"/>
        </w:rPr>
        <w:t>AS</w:t>
      </w:r>
      <w:r>
        <w:rPr>
          <w:rFonts w:hint="eastAsia"/>
        </w:rPr>
        <w:t>为单位面积销售额。测算城市实际可承受商业面积规模，可先计算城市居民有效购买力比率Ｒ，再计算实际可承受商业面积规模，计算公式为</w:t>
      </w:r>
      <w:r>
        <w:rPr>
          <w:rFonts w:hint="eastAsia"/>
        </w:rPr>
        <w:t>:</w:t>
      </w:r>
    </w:p>
    <w:p w14:paraId="1B8F0FFB" w14:textId="77777777" w:rsidR="006A3741" w:rsidRDefault="006A3741" w:rsidP="006A3741">
      <w:pPr>
        <w:spacing w:line="360" w:lineRule="auto"/>
        <w:jc w:val="center"/>
      </w:pPr>
      <w:r>
        <w:rPr>
          <w:rFonts w:hint="eastAsia"/>
        </w:rPr>
        <w:t>Ｒ</w:t>
      </w:r>
      <w:r>
        <w:rPr>
          <w:rFonts w:hint="eastAsia"/>
        </w:rPr>
        <w:t xml:space="preserve"> = RPCR </w:t>
      </w:r>
      <w:r>
        <w:rPr>
          <w:rFonts w:hint="eastAsia"/>
        </w:rPr>
        <w:t>÷</w:t>
      </w:r>
      <w:r>
        <w:rPr>
          <w:rFonts w:hint="eastAsia"/>
        </w:rPr>
        <w:t xml:space="preserve"> NPCR</w:t>
      </w:r>
    </w:p>
    <w:p w14:paraId="5A64D352" w14:textId="77777777" w:rsidR="006A3741" w:rsidRDefault="006A3741" w:rsidP="006A3741">
      <w:pPr>
        <w:spacing w:line="360" w:lineRule="auto"/>
        <w:jc w:val="center"/>
      </w:pPr>
      <w:r>
        <w:rPr>
          <w:rFonts w:hint="eastAsia"/>
        </w:rPr>
        <w:t xml:space="preserve">MA = S </w:t>
      </w:r>
      <w:r>
        <w:rPr>
          <w:rFonts w:hint="eastAsia"/>
        </w:rPr>
        <w:t>×</w:t>
      </w:r>
      <w:r>
        <w:rPr>
          <w:rFonts w:hint="eastAsia"/>
        </w:rPr>
        <w:t xml:space="preserve"> </w:t>
      </w:r>
      <w:r>
        <w:rPr>
          <w:rFonts w:hint="eastAsia"/>
        </w:rPr>
        <w:t>Ｒ</w:t>
      </w:r>
      <w:r>
        <w:rPr>
          <w:rFonts w:hint="eastAsia"/>
        </w:rPr>
        <w:t xml:space="preserve"> ( 4)</w:t>
      </w:r>
    </w:p>
    <w:p w14:paraId="50004E5C" w14:textId="2FAF26A4" w:rsidR="00C40FDF" w:rsidRDefault="006A3741" w:rsidP="006A3741">
      <w:r>
        <w:rPr>
          <w:rFonts w:hint="eastAsia"/>
        </w:rPr>
        <w:t>其中</w:t>
      </w:r>
      <w:r>
        <w:rPr>
          <w:rFonts w:hint="eastAsia"/>
        </w:rPr>
        <w:t xml:space="preserve">MA </w:t>
      </w:r>
      <w:r>
        <w:rPr>
          <w:rFonts w:hint="eastAsia"/>
        </w:rPr>
        <w:t>为最大实际可承受商业面积规模。将之与地区实际商业规模对比可得到其商业化程度</w:t>
      </w:r>
      <w:r>
        <w:rPr>
          <w:rFonts w:hint="eastAsia"/>
        </w:rPr>
        <w:t>。</w:t>
      </w:r>
    </w:p>
    <w:p w14:paraId="6D6A2D7A" w14:textId="1D5FA19A" w:rsidR="00ED3F2F" w:rsidRDefault="00ED3F2F" w:rsidP="006A3741"/>
    <w:p w14:paraId="78C74338" w14:textId="0078091F" w:rsidR="00ED3F2F" w:rsidRDefault="00ED3F2F" w:rsidP="006A3741">
      <w:r>
        <w:rPr>
          <w:rFonts w:hint="eastAsia"/>
        </w:rPr>
        <w:t>根据鼓浪屿发展计划（</w:t>
      </w:r>
      <w:r>
        <w:rPr>
          <w:rFonts w:hint="eastAsia"/>
        </w:rPr>
        <w:t>2</w:t>
      </w:r>
      <w:r>
        <w:t>017</w:t>
      </w:r>
      <w:r>
        <w:rPr>
          <w:rFonts w:hint="eastAsia"/>
        </w:rPr>
        <w:t>年版）</w:t>
      </w:r>
      <w:r w:rsidR="008F34F3">
        <w:rPr>
          <w:rFonts w:hint="eastAsia"/>
        </w:rPr>
        <w:t>与</w:t>
      </w:r>
      <w:r w:rsidR="008F34F3">
        <w:rPr>
          <w:rFonts w:hint="eastAsia"/>
        </w:rPr>
        <w:t>2</w:t>
      </w:r>
      <w:r w:rsidR="008F34F3">
        <w:t>018</w:t>
      </w:r>
      <w:r w:rsidR="008F34F3">
        <w:rPr>
          <w:rFonts w:hint="eastAsia"/>
        </w:rPr>
        <w:t>年政府公开文件</w:t>
      </w:r>
    </w:p>
    <w:p w14:paraId="0596F722" w14:textId="7CAE212C" w:rsidR="00D260B8" w:rsidRDefault="00D260B8" w:rsidP="006A3741">
      <w:r>
        <w:rPr>
          <w:noProof/>
        </w:rPr>
        <w:drawing>
          <wp:inline distT="0" distB="0" distL="0" distR="0" wp14:anchorId="3FD73AB3" wp14:editId="06DA5330">
            <wp:extent cx="5274310" cy="10344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34415"/>
                    </a:xfrm>
                    <a:prstGeom prst="rect">
                      <a:avLst/>
                    </a:prstGeom>
                  </pic:spPr>
                </pic:pic>
              </a:graphicData>
            </a:graphic>
          </wp:inline>
        </w:drawing>
      </w:r>
    </w:p>
    <w:p w14:paraId="3F3B945D" w14:textId="0E3F10FE" w:rsidR="008F34F3" w:rsidRDefault="008F34F3" w:rsidP="006A3741">
      <w:pPr>
        <w:rPr>
          <w:rFonts w:hint="eastAsia"/>
        </w:rPr>
      </w:pPr>
      <w:r>
        <w:rPr>
          <w:noProof/>
        </w:rPr>
        <w:lastRenderedPageBreak/>
        <w:drawing>
          <wp:inline distT="0" distB="0" distL="0" distR="0" wp14:anchorId="247BA2A9" wp14:editId="656DB1F2">
            <wp:extent cx="5274310" cy="2185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85670"/>
                    </a:xfrm>
                    <a:prstGeom prst="rect">
                      <a:avLst/>
                    </a:prstGeom>
                  </pic:spPr>
                </pic:pic>
              </a:graphicData>
            </a:graphic>
          </wp:inline>
        </w:drawing>
      </w:r>
    </w:p>
    <w:p w14:paraId="649D4E8A" w14:textId="7CE4E310" w:rsidR="00D260B8" w:rsidRDefault="00D260B8" w:rsidP="006A3741"/>
    <w:p w14:paraId="237B9F2F" w14:textId="19171AD2" w:rsidR="00FD128D" w:rsidRDefault="00D260B8" w:rsidP="006A3741">
      <w:r>
        <w:rPr>
          <w:rFonts w:hint="eastAsia"/>
        </w:rPr>
        <w:t>我们假设总游客家庭数</w:t>
      </w:r>
      <w:r w:rsidR="00763CBA">
        <w:rPr>
          <w:rFonts w:hint="eastAsia"/>
        </w:rPr>
        <w:t>为高峰值</w:t>
      </w:r>
      <w:r>
        <w:rPr>
          <w:rFonts w:hint="eastAsia"/>
        </w:rPr>
        <w:t>F=</w:t>
      </w:r>
      <w:r w:rsidR="00DB1D64">
        <w:t>2.7</w:t>
      </w:r>
      <w:r>
        <w:rPr>
          <w:rFonts w:hint="eastAsia"/>
        </w:rPr>
        <w:t>万人</w:t>
      </w:r>
      <w:r w:rsidR="00FD128D">
        <w:rPr>
          <w:rFonts w:hint="eastAsia"/>
        </w:rPr>
        <w:t>，其中受访游客工资图表如下：</w:t>
      </w:r>
    </w:p>
    <w:p w14:paraId="10E14144" w14:textId="57281B25" w:rsidR="00FD128D" w:rsidRDefault="00FD128D" w:rsidP="006A3741">
      <w:r>
        <w:rPr>
          <w:noProof/>
        </w:rPr>
        <w:drawing>
          <wp:inline distT="0" distB="0" distL="0" distR="0" wp14:anchorId="6737DF1A" wp14:editId="55577C90">
            <wp:extent cx="4572000" cy="2743200"/>
            <wp:effectExtent l="0" t="0" r="0" b="0"/>
            <wp:docPr id="5" name="图表 5">
              <a:extLst xmlns:a="http://schemas.openxmlformats.org/drawingml/2006/main">
                <a:ext uri="{FF2B5EF4-FFF2-40B4-BE49-F238E27FC236}">
                  <a16:creationId xmlns:a16="http://schemas.microsoft.com/office/drawing/2014/main" id="{B231C38F-C957-42EE-BB25-ED2E0D49C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A643B8" w14:textId="4480A42C" w:rsidR="00FD128D" w:rsidRDefault="00FD128D" w:rsidP="006A3741">
      <w:r>
        <w:rPr>
          <w:rFonts w:hint="eastAsia"/>
        </w:rPr>
        <w:t>我们取每一个区间的平均值为此群体的平均工资进行乘积加和，得到</w:t>
      </w:r>
      <w:r>
        <w:rPr>
          <w:rFonts w:hint="eastAsia"/>
        </w:rPr>
        <w:t>Income=</w:t>
      </w:r>
      <w:r w:rsidR="00BD5896">
        <w:t>8185.17</w:t>
      </w:r>
      <w:r w:rsidR="00BD5896">
        <w:rPr>
          <w:rFonts w:hint="eastAsia"/>
        </w:rPr>
        <w:t>元</w:t>
      </w:r>
    </w:p>
    <w:p w14:paraId="162703CE" w14:textId="055C8C53" w:rsidR="008F34F3" w:rsidRDefault="008F34F3" w:rsidP="006A3741">
      <w:pPr>
        <w:rPr>
          <w:rFonts w:hint="eastAsia"/>
        </w:rPr>
      </w:pPr>
      <w:r>
        <w:rPr>
          <w:rFonts w:hint="eastAsia"/>
        </w:rPr>
        <w:t>因此</w:t>
      </w:r>
      <w:r w:rsidR="00E142ED">
        <w:rPr>
          <w:rFonts w:hint="eastAsia"/>
        </w:rPr>
        <w:t>年游客总花费</w:t>
      </w:r>
      <w:r>
        <w:rPr>
          <w:rFonts w:hint="eastAsia"/>
        </w:rPr>
        <w:t>NPC</w:t>
      </w:r>
      <w:r w:rsidR="00A41279">
        <w:rPr>
          <w:rFonts w:hint="eastAsia"/>
        </w:rPr>
        <w:t>R</w:t>
      </w:r>
      <w:bookmarkStart w:id="0" w:name="_GoBack"/>
      <w:bookmarkEnd w:id="0"/>
      <w:r>
        <w:t xml:space="preserve"> </w:t>
      </w:r>
      <w:r>
        <w:rPr>
          <w:rFonts w:hint="eastAsia"/>
        </w:rPr>
        <w:t>=</w:t>
      </w:r>
      <w:r>
        <w:t xml:space="preserve"> </w:t>
      </w:r>
      <w:r>
        <w:rPr>
          <w:rFonts w:hint="eastAsia"/>
        </w:rPr>
        <w:t>F</w:t>
      </w:r>
      <w:r>
        <w:t xml:space="preserve"> </w:t>
      </w:r>
      <w:r>
        <w:rPr>
          <w:rFonts w:ascii="Cambria Math" w:hAnsi="Cambria Math"/>
        </w:rPr>
        <w:t>×</w:t>
      </w:r>
      <w:r>
        <w:t xml:space="preserve"> </w:t>
      </w:r>
      <w:r>
        <w:rPr>
          <w:rFonts w:hint="eastAsia"/>
        </w:rPr>
        <w:t>Income</w:t>
      </w:r>
      <w:r w:rsidR="000F7BE2">
        <w:t xml:space="preserve"> </w:t>
      </w:r>
      <w:r w:rsidR="000F7BE2">
        <w:rPr>
          <w:rFonts w:ascii="Cambria Math" w:hAnsi="Cambria Math"/>
        </w:rPr>
        <w:t>×</w:t>
      </w:r>
      <w:r w:rsidR="000F7BE2">
        <w:t xml:space="preserve"> 12</w:t>
      </w:r>
      <w:r>
        <w:t xml:space="preserve"> </w:t>
      </w:r>
      <w:r>
        <w:rPr>
          <w:rFonts w:hint="eastAsia"/>
        </w:rPr>
        <w:t>=</w:t>
      </w:r>
      <w:r>
        <w:t xml:space="preserve"> </w:t>
      </w:r>
      <w:r w:rsidR="000F7BE2">
        <w:t>26.52</w:t>
      </w:r>
      <w:r w:rsidR="000F7BE2">
        <w:rPr>
          <w:rFonts w:hint="eastAsia"/>
        </w:rPr>
        <w:t>亿</w:t>
      </w:r>
      <w:r>
        <w:rPr>
          <w:rFonts w:hint="eastAsia"/>
        </w:rPr>
        <w:t>元</w:t>
      </w:r>
    </w:p>
    <w:p w14:paraId="6B35DB55" w14:textId="19F3F761" w:rsidR="00BD5896" w:rsidRDefault="00BD5896" w:rsidP="006A3741">
      <w:r w:rsidRPr="00A52B03">
        <w:rPr>
          <w:rFonts w:hint="eastAsia"/>
          <w:b/>
          <w:bCs/>
        </w:rPr>
        <w:t>总营业面积</w:t>
      </w:r>
      <w:r w:rsidRPr="00A52B03">
        <w:rPr>
          <w:rFonts w:hint="eastAsia"/>
          <w:b/>
          <w:bCs/>
        </w:rPr>
        <w:t>S</w:t>
      </w:r>
      <w:r w:rsidRPr="00A52B03">
        <w:rPr>
          <w:b/>
          <w:bCs/>
        </w:rPr>
        <w:t>=3.45</w:t>
      </w:r>
      <w:r w:rsidRPr="00A52B03">
        <w:rPr>
          <w:rFonts w:hint="eastAsia"/>
          <w:b/>
          <w:bCs/>
        </w:rPr>
        <w:t>万平方米</w:t>
      </w:r>
      <w:r>
        <w:rPr>
          <w:rFonts w:hint="eastAsia"/>
        </w:rPr>
        <w:t>，总销售额</w:t>
      </w:r>
      <w:r w:rsidR="008F34F3">
        <w:rPr>
          <w:rFonts w:hint="eastAsia"/>
        </w:rPr>
        <w:t>A</w:t>
      </w:r>
      <w:r w:rsidR="008F34F3">
        <w:t>=</w:t>
      </w:r>
      <w:r w:rsidR="000F7BE2">
        <w:t>27.5</w:t>
      </w:r>
      <w:r w:rsidR="000F7BE2">
        <w:rPr>
          <w:rFonts w:hint="eastAsia"/>
        </w:rPr>
        <w:t>亿</w:t>
      </w:r>
      <w:r w:rsidR="008F34F3">
        <w:rPr>
          <w:rFonts w:hint="eastAsia"/>
        </w:rPr>
        <w:t>元，单位面积销售额</w:t>
      </w:r>
      <w:r w:rsidR="008F34F3">
        <w:rPr>
          <w:rFonts w:hint="eastAsia"/>
        </w:rPr>
        <w:t>AS=</w:t>
      </w:r>
      <w:r w:rsidR="000F7BE2">
        <w:t>7.97</w:t>
      </w:r>
      <w:r w:rsidR="000F7BE2">
        <w:rPr>
          <w:rFonts w:hint="eastAsia"/>
        </w:rPr>
        <w:t>万</w:t>
      </w:r>
      <w:r w:rsidR="008F34F3">
        <w:rPr>
          <w:rFonts w:hint="eastAsia"/>
        </w:rPr>
        <w:t>元</w:t>
      </w:r>
    </w:p>
    <w:p w14:paraId="23399121" w14:textId="7627AD16" w:rsidR="008F34F3" w:rsidRPr="00A52B03" w:rsidRDefault="008F34F3" w:rsidP="006A3741">
      <w:pPr>
        <w:rPr>
          <w:rFonts w:hint="eastAsia"/>
          <w:color w:val="FF0000"/>
        </w:rPr>
      </w:pPr>
      <w:r>
        <w:rPr>
          <w:rFonts w:hint="eastAsia"/>
        </w:rPr>
        <w:t>因此得到</w:t>
      </w:r>
      <w:r w:rsidRPr="00A52B03">
        <w:rPr>
          <w:rFonts w:hint="eastAsia"/>
          <w:b/>
          <w:bCs/>
        </w:rPr>
        <w:t>理论</w:t>
      </w:r>
      <w:r w:rsidR="00DB1D64" w:rsidRPr="00A52B03">
        <w:rPr>
          <w:rFonts w:hint="eastAsia"/>
          <w:b/>
          <w:bCs/>
        </w:rPr>
        <w:t>最大可承受</w:t>
      </w:r>
      <w:r w:rsidRPr="00A52B03">
        <w:rPr>
          <w:rFonts w:hint="eastAsia"/>
          <w:b/>
          <w:bCs/>
        </w:rPr>
        <w:t>商业面积</w:t>
      </w:r>
      <w:r w:rsidRPr="00A52B03">
        <w:rPr>
          <w:rFonts w:hint="eastAsia"/>
          <w:b/>
          <w:bCs/>
        </w:rPr>
        <w:t>S</w:t>
      </w:r>
      <w:r w:rsidRPr="00A52B03">
        <w:rPr>
          <w:b/>
          <w:bCs/>
        </w:rPr>
        <w:t xml:space="preserve"> </w:t>
      </w:r>
      <w:r w:rsidRPr="00A52B03">
        <w:rPr>
          <w:rFonts w:hint="eastAsia"/>
          <w:b/>
          <w:bCs/>
        </w:rPr>
        <w:t>=</w:t>
      </w:r>
      <w:r w:rsidRPr="00A52B03">
        <w:rPr>
          <w:b/>
          <w:bCs/>
        </w:rPr>
        <w:t xml:space="preserve"> </w:t>
      </w:r>
      <w:r w:rsidRPr="00A52B03">
        <w:rPr>
          <w:rFonts w:hint="eastAsia"/>
          <w:b/>
          <w:bCs/>
        </w:rPr>
        <w:t>NPCR</w:t>
      </w:r>
      <w:r w:rsidRPr="00A52B03">
        <w:rPr>
          <w:b/>
          <w:bCs/>
        </w:rPr>
        <w:t xml:space="preserve"> </w:t>
      </w:r>
      <w:r w:rsidRPr="00A52B03">
        <w:rPr>
          <w:rFonts w:ascii="Cambria Math" w:hAnsi="Cambria Math"/>
          <w:b/>
          <w:bCs/>
        </w:rPr>
        <w:t>÷</w:t>
      </w:r>
      <w:r w:rsidRPr="00A52B03">
        <w:rPr>
          <w:b/>
          <w:bCs/>
        </w:rPr>
        <w:t xml:space="preserve"> </w:t>
      </w:r>
      <w:r w:rsidRPr="00A52B03">
        <w:rPr>
          <w:rFonts w:hint="eastAsia"/>
          <w:b/>
          <w:bCs/>
        </w:rPr>
        <w:t>AS</w:t>
      </w:r>
      <w:r w:rsidRPr="00A52B03">
        <w:rPr>
          <w:b/>
          <w:bCs/>
        </w:rPr>
        <w:t xml:space="preserve"> </w:t>
      </w:r>
      <w:r w:rsidRPr="00A52B03">
        <w:rPr>
          <w:rFonts w:hint="eastAsia"/>
          <w:b/>
          <w:bCs/>
        </w:rPr>
        <w:t>=</w:t>
      </w:r>
      <w:r w:rsidRPr="00A52B03">
        <w:rPr>
          <w:b/>
          <w:bCs/>
        </w:rPr>
        <w:t xml:space="preserve"> </w:t>
      </w:r>
      <w:r w:rsidR="000F7BE2">
        <w:rPr>
          <w:b/>
          <w:bCs/>
        </w:rPr>
        <w:t>3.32</w:t>
      </w:r>
      <w:r w:rsidR="004F0A44">
        <w:rPr>
          <w:rFonts w:hint="eastAsia"/>
          <w:b/>
          <w:bCs/>
        </w:rPr>
        <w:t>万</w:t>
      </w:r>
      <w:r w:rsidRPr="00A52B03">
        <w:rPr>
          <w:rFonts w:hint="eastAsia"/>
          <w:b/>
          <w:bCs/>
        </w:rPr>
        <w:t>平方米</w:t>
      </w:r>
      <w:r w:rsidR="00A52B03">
        <w:rPr>
          <w:rFonts w:hint="eastAsia"/>
          <w:b/>
          <w:bCs/>
        </w:rPr>
        <w:t>，</w:t>
      </w:r>
      <w:r w:rsidR="00A52B03" w:rsidRPr="00A52B03">
        <w:rPr>
          <w:rFonts w:hint="eastAsia"/>
          <w:b/>
          <w:bCs/>
          <w:color w:val="FF0000"/>
        </w:rPr>
        <w:t>略低于目前的总营业面积。</w:t>
      </w:r>
    </w:p>
    <w:p w14:paraId="67A0C973" w14:textId="77777777" w:rsidR="008F34F3" w:rsidRPr="000F7BE2" w:rsidRDefault="008F34F3" w:rsidP="006A3741">
      <w:pPr>
        <w:rPr>
          <w:rFonts w:hint="eastAsia"/>
        </w:rPr>
      </w:pPr>
    </w:p>
    <w:p w14:paraId="4924B091" w14:textId="77777777" w:rsidR="00BD5896" w:rsidRPr="006A3741" w:rsidRDefault="00BD5896" w:rsidP="006A3741">
      <w:pPr>
        <w:rPr>
          <w:rFonts w:hint="eastAsia"/>
        </w:rPr>
      </w:pPr>
    </w:p>
    <w:sectPr w:rsidR="00BD5896" w:rsidRPr="006A37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4367C" w14:textId="77777777" w:rsidR="00F610C4" w:rsidRDefault="00F610C4" w:rsidP="006A3741">
      <w:r>
        <w:separator/>
      </w:r>
    </w:p>
  </w:endnote>
  <w:endnote w:type="continuationSeparator" w:id="0">
    <w:p w14:paraId="6A59CC76" w14:textId="77777777" w:rsidR="00F610C4" w:rsidRDefault="00F610C4" w:rsidP="006A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81C68" w14:textId="77777777" w:rsidR="00F610C4" w:rsidRDefault="00F610C4" w:rsidP="006A3741">
      <w:r>
        <w:separator/>
      </w:r>
    </w:p>
  </w:footnote>
  <w:footnote w:type="continuationSeparator" w:id="0">
    <w:p w14:paraId="6DC57916" w14:textId="77777777" w:rsidR="00F610C4" w:rsidRDefault="00F610C4" w:rsidP="006A37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A2538"/>
    <w:rsid w:val="000F7BE2"/>
    <w:rsid w:val="004F0A44"/>
    <w:rsid w:val="006A3741"/>
    <w:rsid w:val="0073419C"/>
    <w:rsid w:val="00763CBA"/>
    <w:rsid w:val="008F34F3"/>
    <w:rsid w:val="00A41279"/>
    <w:rsid w:val="00A52B03"/>
    <w:rsid w:val="00A84BBF"/>
    <w:rsid w:val="00BD5896"/>
    <w:rsid w:val="00C40FDF"/>
    <w:rsid w:val="00C92919"/>
    <w:rsid w:val="00CA2538"/>
    <w:rsid w:val="00D01618"/>
    <w:rsid w:val="00D260B8"/>
    <w:rsid w:val="00DB1D64"/>
    <w:rsid w:val="00E142ED"/>
    <w:rsid w:val="00ED3F2F"/>
    <w:rsid w:val="00F610C4"/>
    <w:rsid w:val="00FD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CC030"/>
  <w15:chartTrackingRefBased/>
  <w15:docId w15:val="{794447BD-4BC7-4492-8915-5E16A1CF7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741"/>
    <w:pPr>
      <w:widowControl w:val="0"/>
      <w:jc w:val="both"/>
    </w:pPr>
    <w:rPr>
      <w:rFonts w:ascii="Times New Roman" w:eastAsia="宋体" w:hAnsi="宋体" w:cs="宋体"/>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37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3741"/>
    <w:rPr>
      <w:sz w:val="18"/>
      <w:szCs w:val="18"/>
    </w:rPr>
  </w:style>
  <w:style w:type="paragraph" w:styleId="a5">
    <w:name w:val="footer"/>
    <w:basedOn w:val="a"/>
    <w:link w:val="a6"/>
    <w:uiPriority w:val="99"/>
    <w:unhideWhenUsed/>
    <w:rsid w:val="006A3741"/>
    <w:pPr>
      <w:tabs>
        <w:tab w:val="center" w:pos="4153"/>
        <w:tab w:val="right" w:pos="8306"/>
      </w:tabs>
      <w:snapToGrid w:val="0"/>
      <w:jc w:val="left"/>
    </w:pPr>
    <w:rPr>
      <w:sz w:val="18"/>
      <w:szCs w:val="18"/>
    </w:rPr>
  </w:style>
  <w:style w:type="character" w:customStyle="1" w:styleId="a6">
    <w:name w:val="页脚 字符"/>
    <w:basedOn w:val="a0"/>
    <w:link w:val="a5"/>
    <w:uiPriority w:val="99"/>
    <w:rsid w:val="006A3741"/>
    <w:rPr>
      <w:sz w:val="18"/>
      <w:szCs w:val="18"/>
    </w:rPr>
  </w:style>
  <w:style w:type="paragraph" w:customStyle="1" w:styleId="Default">
    <w:name w:val="Default"/>
    <w:rsid w:val="006A3741"/>
    <w:pPr>
      <w:widowControl w:val="0"/>
      <w:autoSpaceDE w:val="0"/>
      <w:autoSpaceDN w:val="0"/>
      <w:adjustRightInd w:val="0"/>
    </w:pPr>
    <w:rPr>
      <w:rFonts w:ascii="宋体" w:eastAsia="宋体" w:cs="宋体"/>
      <w:color w:val="000000"/>
      <w:kern w:val="0"/>
      <w:sz w:val="24"/>
      <w:szCs w:val="24"/>
    </w:rPr>
  </w:style>
  <w:style w:type="character" w:styleId="a7">
    <w:name w:val="Emphasis"/>
    <w:qFormat/>
    <w:rsid w:val="006A3741"/>
    <w:rPr>
      <w: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c\Desktop\&#21508;&#31181;&#20316;&#19994;\&#22823;&#21019;\&#20013;&#26399;&#25253;&#21578;\&#22478;&#24066;&#21697;&#29260;&#24418;&#35937;&#20256;&#25773;&#25928;&#26524;&#35780;&#20272;&#38382;&#21367;_125+12%201.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t>游客工资分布图表</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Sheet3!$A$1:$G$1</c:f>
              <c:strCache>
                <c:ptCount val="7"/>
                <c:pt idx="0">
                  <c:v>1000元以下</c:v>
                </c:pt>
                <c:pt idx="1">
                  <c:v>1000-2999</c:v>
                </c:pt>
                <c:pt idx="2">
                  <c:v>3000-4999</c:v>
                </c:pt>
                <c:pt idx="3">
                  <c:v>5000-6999</c:v>
                </c:pt>
                <c:pt idx="4">
                  <c:v>7000-8999</c:v>
                </c:pt>
                <c:pt idx="5">
                  <c:v>9000-10999</c:v>
                </c:pt>
                <c:pt idx="6">
                  <c:v>11000以上</c:v>
                </c:pt>
              </c:strCache>
            </c:strRef>
          </c:cat>
          <c:val>
            <c:numRef>
              <c:f>Sheet3!$A$2:$G$2</c:f>
              <c:numCache>
                <c:formatCode>General</c:formatCode>
                <c:ptCount val="7"/>
                <c:pt idx="0">
                  <c:v>35</c:v>
                </c:pt>
                <c:pt idx="1">
                  <c:v>9</c:v>
                </c:pt>
                <c:pt idx="2">
                  <c:v>11</c:v>
                </c:pt>
                <c:pt idx="3">
                  <c:v>19</c:v>
                </c:pt>
                <c:pt idx="4">
                  <c:v>24</c:v>
                </c:pt>
                <c:pt idx="5">
                  <c:v>19</c:v>
                </c:pt>
                <c:pt idx="6">
                  <c:v>20</c:v>
                </c:pt>
              </c:numCache>
            </c:numRef>
          </c:val>
          <c:extLst>
            <c:ext xmlns:c16="http://schemas.microsoft.com/office/drawing/2014/chart" uri="{C3380CC4-5D6E-409C-BE32-E72D297353CC}">
              <c16:uniqueId val="{00000000-8186-48DB-B5E1-7F20FFA2F846}"/>
            </c:ext>
          </c:extLst>
        </c:ser>
        <c:dLbls>
          <c:dLblPos val="inEnd"/>
          <c:showLegendKey val="0"/>
          <c:showVal val="1"/>
          <c:showCatName val="0"/>
          <c:showSerName val="0"/>
          <c:showPercent val="0"/>
          <c:showBubbleSize val="0"/>
        </c:dLbls>
        <c:gapWidth val="65"/>
        <c:axId val="649574136"/>
        <c:axId val="1"/>
      </c:barChart>
      <c:catAx>
        <c:axId val="64957413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1"/>
        <c:crosses val="autoZero"/>
        <c:auto val="1"/>
        <c:lblAlgn val="ctr"/>
        <c:lblOffset val="100"/>
        <c:noMultiLvlLbl val="0"/>
      </c:catAx>
      <c:valAx>
        <c:axId val="1"/>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crossAx val="64957413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陶俊屹</dc:creator>
  <cp:keywords/>
  <dc:description/>
  <cp:lastModifiedBy>陶俊屹</cp:lastModifiedBy>
  <cp:revision>12</cp:revision>
  <dcterms:created xsi:type="dcterms:W3CDTF">2019-11-30T14:29:00Z</dcterms:created>
  <dcterms:modified xsi:type="dcterms:W3CDTF">2019-11-30T16:56:00Z</dcterms:modified>
</cp:coreProperties>
</file>