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Exploring</w:t>
      </w:r>
      <w:r>
        <w:t xml:space="preserve"> </w:t>
      </w:r>
      <w:r>
        <w:t xml:space="preserve">Singapore</w:t>
      </w:r>
      <w:r>
        <w:t xml:space="preserve"> </w:t>
      </w:r>
      <w:r>
        <w:t xml:space="preserve">Demographics</w:t>
      </w:r>
      <w:r>
        <w:t xml:space="preserve"> </w:t>
      </w:r>
      <w:r>
        <w:t xml:space="preserve">(2024)</w:t>
      </w:r>
    </w:p>
    <w:p>
      <w:pPr>
        <w:pStyle w:val="Author"/>
      </w:pPr>
      <w:r>
        <w:t xml:space="preserve">Zhang</w:t>
      </w:r>
      <w:r>
        <w:t xml:space="preserve"> </w:t>
      </w:r>
      <w:r>
        <w:t xml:space="preserve">Xuerong</w:t>
      </w:r>
    </w:p>
    <w:bookmarkStart w:id="24" w:name="overview"/>
    <w:p>
      <w:pPr>
        <w:pStyle w:val="Heading1"/>
      </w:pPr>
      <w:r>
        <w:t xml:space="preserve">1. Overview</w:t>
      </w:r>
    </w:p>
    <w:bookmarkStart w:id="20" w:name="background"/>
    <w:p>
      <w:pPr>
        <w:pStyle w:val="Heading2"/>
      </w:pPr>
      <w:r>
        <w:t xml:space="preserve">1.1 Background</w:t>
      </w:r>
    </w:p>
    <w:p>
      <w:pPr>
        <w:pStyle w:val="FirstParagraph"/>
      </w:pPr>
      <w:r>
        <w:t xml:space="preserve">A local online media company is preparing a feature on Singapore’s demographic structure in 2024. This visualisation project aims to support that article by delivering compelling, accurate, and insightful graphics to inform public understanding. We utilise data from the Singapore Department of Statistics on residents by Planning Area/Subzone, Age, and Sex.</w:t>
      </w:r>
    </w:p>
    <w:bookmarkEnd w:id="20"/>
    <w:bookmarkStart w:id="21" w:name="the-data"/>
    <w:p>
      <w:pPr>
        <w:pStyle w:val="Heading2"/>
      </w:pPr>
      <w:r>
        <w:t xml:space="preserve">1.2 The Data</w:t>
      </w:r>
    </w:p>
    <w:p>
      <w:pPr>
        <w:pStyle w:val="FirstParagraph"/>
      </w:pPr>
      <w:r>
        <w:t xml:space="preserve">The dataset</w:t>
      </w:r>
      <w:r>
        <w:t xml:space="preserve"> </w:t>
      </w:r>
      <w:r>
        <w:rPr>
          <w:rStyle w:val="VerbatimChar"/>
        </w:rPr>
        <w:t xml:space="preserve">respopagesex2024.csv</w:t>
      </w:r>
      <w:r>
        <w:t xml:space="preserve"> </w:t>
      </w:r>
      <w:r>
        <w:t xml:space="preserve">contains detailed resident counts disaggregated by Planning Area (PA), Subzone (SZ), Age, Sex, and Year (2024). It allows exploration of age structures, gender balances, and spatial distribution patterns critical to urban and social planning.</w:t>
      </w:r>
    </w:p>
    <w:bookmarkEnd w:id="21"/>
    <w:bookmarkStart w:id="22" w:name="data-dictionary"/>
    <w:p>
      <w:pPr>
        <w:pStyle w:val="Heading2"/>
      </w:pPr>
      <w:r>
        <w:t xml:space="preserve">1.3 Data Dictionary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PA</w:t>
            </w:r>
          </w:p>
        </w:tc>
        <w:tc>
          <w:tcPr/>
          <w:p>
            <w:pPr>
              <w:pStyle w:val="Compact"/>
              <w:jc w:val="left"/>
            </w:pPr>
            <w:r>
              <w:t xml:space="preserve">Planning Area</w:t>
            </w:r>
          </w:p>
        </w:tc>
      </w:tr>
      <w:tr>
        <w:tc>
          <w:tcPr/>
          <w:p>
            <w:pPr>
              <w:pStyle w:val="Compact"/>
              <w:jc w:val="left"/>
            </w:pPr>
            <w:r>
              <w:t xml:space="preserve">SZ</w:t>
            </w:r>
          </w:p>
        </w:tc>
        <w:tc>
          <w:tcPr/>
          <w:p>
            <w:pPr>
              <w:pStyle w:val="Compact"/>
              <w:jc w:val="left"/>
            </w:pPr>
            <w:r>
              <w:t xml:space="preserve">Subzone</w:t>
            </w:r>
          </w:p>
        </w:tc>
      </w:tr>
      <w:tr>
        <w:tc>
          <w:tcPr/>
          <w:p>
            <w:pPr>
              <w:pStyle w:val="Compact"/>
              <w:jc w:val="left"/>
            </w:pPr>
            <w:r>
              <w:t xml:space="preserve">Age</w:t>
            </w:r>
          </w:p>
        </w:tc>
        <w:tc>
          <w:tcPr/>
          <w:p>
            <w:pPr>
              <w:pStyle w:val="Compact"/>
              <w:jc w:val="left"/>
            </w:pPr>
            <w:r>
              <w:t xml:space="preserve">Single Year of Age</w:t>
            </w:r>
          </w:p>
        </w:tc>
      </w:tr>
      <w:tr>
        <w:tc>
          <w:tcPr/>
          <w:p>
            <w:pPr>
              <w:pStyle w:val="Compact"/>
              <w:jc w:val="left"/>
            </w:pPr>
            <w:r>
              <w:t xml:space="preserve">Sex</w:t>
            </w:r>
          </w:p>
        </w:tc>
        <w:tc>
          <w:tcPr/>
          <w:p>
            <w:pPr>
              <w:pStyle w:val="Compact"/>
              <w:jc w:val="left"/>
            </w:pPr>
            <w:r>
              <w:t xml:space="preserve">Gender</w:t>
            </w:r>
          </w:p>
        </w:tc>
      </w:tr>
      <w:tr>
        <w:tc>
          <w:tcPr/>
          <w:p>
            <w:pPr>
              <w:pStyle w:val="Compact"/>
              <w:jc w:val="left"/>
            </w:pPr>
            <w:r>
              <w:t xml:space="preserve">Pop</w:t>
            </w:r>
          </w:p>
        </w:tc>
        <w:tc>
          <w:tcPr/>
          <w:p>
            <w:pPr>
              <w:pStyle w:val="Compact"/>
              <w:jc w:val="left"/>
            </w:pPr>
            <w:r>
              <w:t xml:space="preserve">Resident Population</w:t>
            </w:r>
          </w:p>
        </w:tc>
      </w:tr>
      <w:tr>
        <w:tc>
          <w:tcPr/>
          <w:p>
            <w:pPr>
              <w:pStyle w:val="Compact"/>
              <w:jc w:val="left"/>
            </w:pPr>
            <w:r>
              <w:t xml:space="preserve">Time</w:t>
            </w:r>
          </w:p>
        </w:tc>
        <w:tc>
          <w:tcPr/>
          <w:p>
            <w:pPr>
              <w:pStyle w:val="Compact"/>
              <w:jc w:val="left"/>
            </w:pPr>
            <w:r>
              <w:t xml:space="preserve">Reference Time (June 2024)</w:t>
            </w:r>
          </w:p>
        </w:tc>
      </w:tr>
    </w:tbl>
    <w:bookmarkEnd w:id="22"/>
    <w:bookmarkStart w:id="23" w:name="description-of-supplied-files"/>
    <w:p>
      <w:pPr>
        <w:pStyle w:val="Heading2"/>
      </w:pPr>
      <w:r>
        <w:t xml:space="preserve">1.4 Description of Supplied Files</w:t>
      </w:r>
    </w:p>
    <w:p>
      <w:pPr>
        <w:pStyle w:val="FirstParagraph"/>
      </w:pPr>
      <w:r>
        <w:t xml:space="preserve">This project utilizes three related files:</w:t>
      </w:r>
    </w:p>
    <w:tbl>
      <w:tblPr>
        <w:tblStyle w:val="Table"/>
        <w:tblW w:type="pct" w:w="5000"/>
        <w:tblLook w:firstRow="1" w:lastRow="0" w:firstColumn="0" w:lastColumn="0" w:noHBand="0" w:noVBand="0" w:val="0020"/>
        <w:jc w:val="start"/>
        <w:tblLayout w:type="fixed"/>
      </w:tblPr>
      <w:tblGrid>
        <w:gridCol w:w="2121"/>
        <w:gridCol w:w="5798"/>
      </w:tblGrid>
      <w:tr>
        <w:trPr>
          <w:tblHeader w:val="true"/>
        </w:trPr>
        <w:tc>
          <w:tcPr/>
          <w:p>
            <w:pPr>
              <w:pStyle w:val="Compact"/>
              <w:jc w:val="left"/>
            </w:pPr>
            <w:r>
              <w:t xml:space="preserve">File Name</w:t>
            </w:r>
          </w:p>
        </w:tc>
        <w:tc>
          <w:tcPr/>
          <w:p>
            <w:pPr>
              <w:pStyle w:val="Compact"/>
              <w:jc w:val="left"/>
            </w:pPr>
            <w:r>
              <w:t xml:space="preserve">Description</w:t>
            </w:r>
          </w:p>
        </w:tc>
      </w:tr>
      <w:tr>
        <w:tc>
          <w:tcPr/>
          <w:p>
            <w:pPr>
              <w:pStyle w:val="Compact"/>
              <w:jc w:val="left"/>
            </w:pPr>
            <w:r>
              <w:rPr>
                <w:rStyle w:val="VerbatimChar"/>
              </w:rPr>
              <w:t xml:space="preserve">respopagesex2024.csv</w:t>
            </w:r>
          </w:p>
        </w:tc>
        <w:tc>
          <w:tcPr/>
          <w:p>
            <w:pPr>
              <w:pStyle w:val="Compact"/>
              <w:jc w:val="left"/>
            </w:pPr>
            <w:r>
              <w:t xml:space="preserve">Main dataset in CSV format. Used directly for all data wrangling and plots.</w:t>
            </w:r>
          </w:p>
        </w:tc>
      </w:tr>
      <w:tr>
        <w:tc>
          <w:tcPr/>
          <w:p>
            <w:pPr>
              <w:pStyle w:val="Compact"/>
              <w:jc w:val="left"/>
            </w:pPr>
            <w:r>
              <w:rPr>
                <w:rStyle w:val="VerbatimChar"/>
              </w:rPr>
              <w:t xml:space="preserve">respopagesex2024e.xlsx</w:t>
            </w:r>
          </w:p>
        </w:tc>
        <w:tc>
          <w:tcPr/>
          <w:p>
            <w:pPr>
              <w:pStyle w:val="Compact"/>
              <w:jc w:val="left"/>
            </w:pPr>
            <w:r>
              <w:t xml:space="preserve">Excel version of the same dataset. Useful for visual inspection and referencing.</w:t>
            </w:r>
          </w:p>
        </w:tc>
      </w:tr>
      <w:tr>
        <w:tc>
          <w:tcPr/>
          <w:p>
            <w:pPr>
              <w:pStyle w:val="Compact"/>
              <w:jc w:val="left"/>
            </w:pPr>
            <w:r>
              <w:rPr>
                <w:rStyle w:val="VerbatimChar"/>
              </w:rPr>
              <w:t xml:space="preserve">Notes_respopagesex2024.csv</w:t>
            </w:r>
          </w:p>
        </w:tc>
        <w:tc>
          <w:tcPr/>
          <w:p>
            <w:pPr>
              <w:pStyle w:val="Compact"/>
              <w:jc w:val="left"/>
            </w:pPr>
            <w:r>
              <w:t xml:space="preserve">Metadata file that provides descriptions of the column headers.</w:t>
            </w:r>
          </w:p>
        </w:tc>
      </w:tr>
    </w:tbl>
    <w:p>
      <w:pPr>
        <w:pStyle w:val="BodyText"/>
      </w:pPr>
      <w:r>
        <w:t xml:space="preserve">Although these files have different formats, they describe the same dataset — the resident population of Singapore by Planning Area, Subzone, single year of age, and sex as of June 2024. The CSV file is used for analysis, while the Excel and notes files support documentation and understanding of the structure and semantics of the dataset.</w:t>
      </w:r>
    </w:p>
    <w:bookmarkEnd w:id="23"/>
    <w:bookmarkEnd w:id="24"/>
    <w:bookmarkStart w:id="25" w:name="loading-packages"/>
    <w:p>
      <w:pPr>
        <w:pStyle w:val="Heading1"/>
      </w:pPr>
      <w:r>
        <w:t xml:space="preserve">2. Loading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ggthemes, patchwork, knitr)</w:t>
      </w:r>
    </w:p>
    <w:bookmarkEnd w:id="25"/>
    <w:bookmarkStart w:id="26" w:name="data-preparation"/>
    <w:p>
      <w:pPr>
        <w:pStyle w:val="Heading1"/>
      </w:pPr>
      <w:r>
        <w:t xml:space="preserve">3. Data Preparation</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"/Users/sharon/OneDrive - Singapore Management University/isss608data/take-home_exercise1/respopagesex2024.csv"</w:t>
      </w:r>
      <w:r>
        <w:rPr>
          <w:rStyle w:val="NormalTok"/>
        </w:rPr>
        <w:t xml:space="preserve">)</w:t>
      </w:r>
    </w:p>
    <w:p>
      <w:pPr>
        <w:pStyle w:val="SourceCode"/>
      </w:pPr>
      <w:r>
        <w:rPr>
          <w:rStyle w:val="VerbatimChar"/>
        </w:rPr>
        <w:t xml:space="preserve">Rows: 60424 Columns: 6</w:t>
      </w:r>
      <w:r>
        <w:br/>
      </w:r>
      <w:r>
        <w:rPr>
          <w:rStyle w:val="VerbatimChar"/>
        </w:rPr>
        <w:t xml:space="preserve">── Column specification ────────────────────────────────────────────────────────</w:t>
      </w:r>
      <w:r>
        <w:br/>
      </w:r>
      <w:r>
        <w:rPr>
          <w:rStyle w:val="VerbatimChar"/>
        </w:rPr>
        <w:t xml:space="preserve">Delimiter: ","</w:t>
      </w:r>
      <w:r>
        <w:br/>
      </w:r>
      <w:r>
        <w:rPr>
          <w:rStyle w:val="VerbatimChar"/>
        </w:rPr>
        <w:t xml:space="preserve">chr (4): PA, SZ, Age, Sex</w:t>
      </w:r>
      <w:r>
        <w:br/>
      </w:r>
      <w:r>
        <w:rPr>
          <w:rStyle w:val="VerbatimChar"/>
        </w:rPr>
        <w:t xml:space="preserve">dbl (2): Pop, Time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 </w:t>
      </w:r>
      <w:r>
        <w:rPr>
          <w:rStyle w:val="DecValTok"/>
        </w:rPr>
        <w:t xml:space="preserve">24</w:t>
      </w:r>
      <w:r>
        <w:rPr>
          <w:rStyle w:val="NormalTok"/>
        </w:rPr>
        <w:t xml:space="preserve">, </w:t>
      </w:r>
      <w:r>
        <w:rPr>
          <w:rStyle w:val="DecValTok"/>
        </w:rPr>
        <w:t xml:space="preserve">44</w:t>
      </w:r>
      <w:r>
        <w:rPr>
          <w:rStyle w:val="NormalTok"/>
        </w:rPr>
        <w:t xml:space="preserve">, </w:t>
      </w:r>
      <w:r>
        <w:rPr>
          <w:rStyle w:val="DecValTok"/>
        </w:rPr>
        <w:t xml:space="preserve">64</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"0-14"</w:t>
      </w:r>
      <w:r>
        <w:rPr>
          <w:rStyle w:val="NormalTok"/>
        </w:rPr>
        <w:t xml:space="preserve">, </w:t>
      </w:r>
      <w:r>
        <w:rPr>
          <w:rStyle w:val="StringTok"/>
        </w:rPr>
        <w:t xml:space="preserve">"15-24"</w:t>
      </w:r>
      <w:r>
        <w:rPr>
          <w:rStyle w:val="NormalTok"/>
        </w:rPr>
        <w:t xml:space="preserve">, </w:t>
      </w:r>
      <w:r>
        <w:rPr>
          <w:rStyle w:val="StringTok"/>
        </w:rPr>
        <w:t xml:space="preserve">"25-44"</w:t>
      </w:r>
      <w:r>
        <w:rPr>
          <w:rStyle w:val="NormalTok"/>
        </w:rPr>
        <w:t xml:space="preserve">, </w:t>
      </w:r>
      <w:r>
        <w:rPr>
          <w:rStyle w:val="StringTok"/>
        </w:rPr>
        <w:t xml:space="preserve">"45-64"</w:t>
      </w:r>
      <w:r>
        <w:rPr>
          <w:rStyle w:val="NormalTok"/>
        </w:rPr>
        <w:t xml:space="preserve">, </w:t>
      </w:r>
      <w:r>
        <w:rPr>
          <w:rStyle w:val="StringTok"/>
        </w:rPr>
        <w:t xml:space="preserve">"65+"</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`Age = as.numeric(Age)`.</w:t>
      </w:r>
      <w:r>
        <w:br/>
      </w:r>
      <w:r>
        <w:rPr>
          <w:rStyle w:val="VerbatimChar"/>
        </w:rPr>
        <w:t xml:space="preserve">Caused by warning:</w:t>
      </w:r>
      <w:r>
        <w:br/>
      </w:r>
      <w:r>
        <w:rPr>
          <w:rStyle w:val="VerbatimChar"/>
        </w:rPr>
        <w:t xml:space="preserve">! NAs introduced by coercion</w:t>
      </w:r>
    </w:p>
    <w:bookmarkEnd w:id="26"/>
    <w:bookmarkStart w:id="51" w:name="visualisations"/>
    <w:p>
      <w:pPr>
        <w:pStyle w:val="Heading1"/>
      </w:pPr>
      <w:r>
        <w:t xml:space="preserve">4. Visualisations</w:t>
      </w:r>
    </w:p>
    <w:bookmarkStart w:id="30" w:name="population-pyramid"/>
    <w:p>
      <w:pPr>
        <w:pStyle w:val="Heading2"/>
      </w:pPr>
      <w:r>
        <w:t xml:space="preserve">4.1 Population Pyramid</w:t>
      </w:r>
    </w:p>
    <w:p>
      <w:pPr>
        <w:pStyle w:val="SourceCode"/>
      </w:pPr>
      <w:r>
        <w:rPr>
          <w:rStyle w:val="NormalTok"/>
        </w:rPr>
        <w:t xml:space="preserve">pyramid_df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Sex, </w:t>
      </w:r>
      <w:r>
        <w:rPr>
          <w:rStyle w:val="AttributeTok"/>
        </w:rPr>
        <w:t xml:space="preserve">values_from =</w:t>
      </w:r>
      <w:r>
        <w:rPr>
          <w:rStyle w:val="NormalTok"/>
        </w:rPr>
        <w:t xml:space="preserve"> 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Males =</w:t>
      </w:r>
      <w:r>
        <w:rPr>
          <w:rStyle w:val="NormalTok"/>
        </w:rPr>
        <w:t xml:space="preserve"> </w:t>
      </w:r>
      <w:r>
        <w:rPr>
          <w:rStyle w:val="SpecialCharTok"/>
        </w:rPr>
        <w:t xml:space="preserve">-</w:t>
      </w:r>
      <w:r>
        <w:rPr>
          <w:rStyle w:val="NormalTok"/>
        </w:rPr>
        <w:t xml:space="preserve">Males)</w:t>
      </w:r>
      <w:r>
        <w:br/>
      </w:r>
      <w:r>
        <w:br/>
      </w:r>
      <w:r>
        <w:rPr>
          <w:rStyle w:val="FunctionTok"/>
        </w:rPr>
        <w:t xml:space="preserve">ggplot</w:t>
      </w:r>
      <w:r>
        <w:rPr>
          <w:rStyle w:val="NormalTok"/>
        </w:rPr>
        <w:t xml:space="preserve">(pyramid_df,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Males),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Females),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of Singapore Residents by Age and Sex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Warning: Removed 1 row containing missing values or values outside the scale range</w:t>
      </w:r>
      <w:r>
        <w:br/>
      </w:r>
      <w:r>
        <w:rPr>
          <w:rStyle w:val="VerbatimChar"/>
        </w:rPr>
        <w:t xml:space="preserve">(`geom_bar()`).</w:t>
      </w:r>
      <w:r>
        <w:br/>
      </w:r>
      <w:r>
        <w:rPr>
          <w:rStyle w:val="VerbatimChar"/>
        </w:rPr>
        <w:t xml:space="preserve">Removed 1 row containing missing values or values outside the scale range</w:t>
      </w:r>
      <w:r>
        <w:br/>
      </w:r>
      <w:r>
        <w:rPr>
          <w:rStyle w:val="VerbatimChar"/>
        </w:rPr>
        <w:t xml:space="preserve">(`geom_bar()`).</w:t>
      </w:r>
    </w:p>
    <w:p>
      <w:pPr>
        <w:pStyle w:val="FirstParagraph"/>
      </w:pPr>
      <w:r>
        <w:drawing>
          <wp:inline>
            <wp:extent cx="5334000" cy="4267200"/>
            <wp:effectExtent b="0" l="0" r="0" t="0"/>
            <wp:docPr descr="" title="" id="28" name="Picture"/>
            <a:graphic>
              <a:graphicData uri="http://schemas.openxmlformats.org/drawingml/2006/picture">
                <pic:pic>
                  <pic:nvPicPr>
                    <pic:cNvPr descr="take-home_exercise1_files/figure-docx/unnamed-chunk-3-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Aging trend is evident with a large senior population. Strong working-age base from 25–64. Balanced gender distribution across age groups.</w:t>
      </w:r>
    </w:p>
    <w:p>
      <w:r>
        <w:pict>
          <v:rect style="width:0;height:1.5pt" o:hralign="center" o:hrstd="t" o:hr="t"/>
        </w:pict>
      </w:r>
    </w:p>
    <w:bookmarkEnd w:id="30"/>
    <w:bookmarkStart w:id="34" w:name="total-population-by-planning-area"/>
    <w:p>
      <w:pPr>
        <w:pStyle w:val="Heading2"/>
      </w:pPr>
      <w:r>
        <w:t xml:space="preserve">4.2 Total Population by Planning Area</w:t>
      </w:r>
    </w:p>
    <w:p>
      <w:pPr>
        <w:pStyle w:val="SourceCode"/>
      </w:pPr>
      <w:r>
        <w:rPr>
          <w:rStyle w:val="NormalTok"/>
        </w:rPr>
        <w:t xml:space="preserve">pop_area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w:t>
      </w:r>
      <w:r>
        <w:br/>
      </w:r>
      <w:r>
        <w:br/>
      </w:r>
      <w:r>
        <w:rPr>
          <w:rStyle w:val="FunctionTok"/>
        </w:rPr>
        <w:t xml:space="preserve">ggplot</w:t>
      </w:r>
      <w:r>
        <w:rPr>
          <w:rStyle w:val="NormalTok"/>
        </w:rPr>
        <w:t xml:space="preserve">(pop_area,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Pop),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Population by Planning Area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take-home_exercise1_files/figure-docx/unnamed-chunk-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Planning areas like Bedok, Tampines, and Jurong West are the most populous. Central areas are less populated but may contain older demographics.</w:t>
      </w:r>
    </w:p>
    <w:p>
      <w:r>
        <w:pict>
          <v:rect style="width:0;height:1.5pt" o:hralign="center" o:hrstd="t" o:hr="t"/>
        </w:pict>
      </w:r>
    </w:p>
    <w:bookmarkEnd w:id="34"/>
    <w:bookmarkStart w:id="38" w:name="X486882ceedef9e5327497eacbfaa406588ba07f"/>
    <w:p>
      <w:pPr>
        <w:pStyle w:val="Heading2"/>
      </w:pPr>
      <w:r>
        <w:t xml:space="preserve">4.3 Senior Population Proportion (65+) by Planning Area</w:t>
      </w:r>
    </w:p>
    <w:p>
      <w:pPr>
        <w:pStyle w:val="SourceCode"/>
      </w:pPr>
      <w:r>
        <w:rPr>
          <w:rStyle w:val="NormalTok"/>
        </w:rPr>
        <w:t xml:space="preserve">senior_df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if_else</w:t>
      </w:r>
      <w:r>
        <w:rPr>
          <w:rStyle w:val="NormalTok"/>
        </w:rPr>
        <w:t xml:space="preserv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tringTok"/>
        </w:rPr>
        <w:t xml:space="preserve">"Senior"</w:t>
      </w:r>
      <w:r>
        <w:rPr>
          <w:rStyle w:val="NormalTok"/>
        </w:rPr>
        <w:t xml:space="preserve">, </w:t>
      </w:r>
      <w:r>
        <w:rPr>
          <w:rStyle w:val="StringTok"/>
        </w:rPr>
        <w:t xml:space="preserve">"Non-Senior"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AgeGroup, </w:t>
      </w:r>
      <w:r>
        <w:rPr>
          <w:rStyle w:val="AttributeTok"/>
        </w:rPr>
        <w:t xml:space="preserve">values_from =</w:t>
      </w:r>
      <w:r>
        <w:rPr>
          <w:rStyle w:val="NormalTok"/>
        </w:rPr>
        <w:t xml:space="preserve"> Pop,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Senior_Pct =</w:t>
      </w:r>
      <w:r>
        <w:rPr>
          <w:rStyle w:val="NormalTok"/>
        </w:rPr>
        <w:t xml:space="preserve"> Senior </w:t>
      </w:r>
      <w:r>
        <w:rPr>
          <w:rStyle w:val="SpecialCharTok"/>
        </w:rPr>
        <w:t xml:space="preserve">/</w:t>
      </w:r>
      <w:r>
        <w:rPr>
          <w:rStyle w:val="NormalTok"/>
        </w:rPr>
        <w:t xml:space="preserve"> (Senior </w:t>
      </w:r>
      <w:r>
        <w:rPr>
          <w:rStyle w:val="SpecialCharTok"/>
        </w:rPr>
        <w:t xml:space="preserve">+</w:t>
      </w:r>
      <w:r>
        <w:rPr>
          <w:rStyle w:val="NormalTok"/>
        </w:rPr>
        <w:t xml:space="preserve"> </w:t>
      </w:r>
      <w:r>
        <w:rPr>
          <w:rStyle w:val="StringTok"/>
        </w:rPr>
        <w:t xml:space="preserve">`</w:t>
      </w:r>
      <w:r>
        <w:rPr>
          <w:rStyle w:val="AttributeTok"/>
        </w:rPr>
        <w:t xml:space="preserve">Non-Senior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(senior_df,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Senior_Pct), </w:t>
      </w:r>
      <w:r>
        <w:rPr>
          <w:rStyle w:val="AttributeTok"/>
        </w:rPr>
        <w:t xml:space="preserve">y =</w:t>
      </w:r>
      <w:r>
        <w:rPr>
          <w:rStyle w:val="NormalTok"/>
        </w:rPr>
        <w:t xml:space="preserve"> Senior_Pct))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Seniors (65+) by Planning Area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"Senior Population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13 rows containing missing values or values outside the scale range</w:t>
      </w:r>
      <w:r>
        <w:br/>
      </w:r>
      <w:r>
        <w:rPr>
          <w:rStyle w:val="VerbatimChar"/>
        </w:rPr>
        <w:t xml:space="preserve">(`geom_col()`).</w:t>
      </w:r>
    </w:p>
    <w:p>
      <w:pPr>
        <w:pStyle w:val="FirstParagraph"/>
      </w:pPr>
      <w:r>
        <w:drawing>
          <wp:inline>
            <wp:extent cx="5334000" cy="4267200"/>
            <wp:effectExtent b="0" l="0" r="0" t="0"/>
            <wp:docPr descr="" title="" id="36" name="Picture"/>
            <a:graphic>
              <a:graphicData uri="http://schemas.openxmlformats.org/drawingml/2006/picture">
                <pic:pic>
                  <pic:nvPicPr>
                    <pic:cNvPr descr="take-home_exercise1_files/figure-docx/unnamed-chunk-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Central areas like Bukit Merah and Outram have a high proportion of elderly residents, demanding targeted services for aging populations.</w:t>
      </w:r>
    </w:p>
    <w:p>
      <w:r>
        <w:pict>
          <v:rect style="width:0;height:1.5pt" o:hralign="center" o:hrstd="t" o:hr="t"/>
        </w:pict>
      </w:r>
    </w:p>
    <w:bookmarkEnd w:id="38"/>
    <w:bookmarkStart w:id="42" w:name="Xf1aa833ee939a72fa289e53963d1f49c09232e6"/>
    <w:p>
      <w:pPr>
        <w:pStyle w:val="Heading2"/>
      </w:pPr>
      <w:r>
        <w:t xml:space="preserve">4.4 Singapore Population Distribution by Age Group (2024)</w:t>
      </w:r>
    </w:p>
    <w:p>
      <w:pPr>
        <w:pStyle w:val="SourceCode"/>
      </w:pPr>
      <w:r>
        <w:rPr>
          <w:rStyle w:val="NormalTok"/>
        </w:rPr>
        <w:t xml:space="preserve">age_group_dist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w:t>
      </w:r>
      <w:r>
        <w:br/>
      </w:r>
      <w:r>
        <w:br/>
      </w:r>
      <w:r>
        <w:rPr>
          <w:rStyle w:val="FunctionTok"/>
        </w:rPr>
        <w:t xml:space="preserve">ggplot</w:t>
      </w:r>
      <w:r>
        <w:rPr>
          <w:rStyle w:val="NormalTok"/>
        </w:rPr>
        <w:t xml:space="preserve">(age_group_dist,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Population Distribution by Age Group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take-home_exercise1_files/figure-docx/unnamed-chunk-6-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Working-age groups (25–64) dominate, with growing numbers in the 65+ category. Young children and teens are a smaller share.</w:t>
      </w:r>
    </w:p>
    <w:p>
      <w:r>
        <w:pict>
          <v:rect style="width:0;height:1.5pt" o:hralign="center" o:hrstd="t" o:hr="t"/>
        </w:pict>
      </w:r>
    </w:p>
    <w:bookmarkEnd w:id="42"/>
    <w:bookmarkStart w:id="46" w:name="top-10-most-populated-subzones-2024"/>
    <w:p>
      <w:pPr>
        <w:pStyle w:val="Heading2"/>
      </w:pPr>
      <w:r>
        <w:t xml:space="preserve">4.5 Top 10 Most Populated Subzones (2024)</w:t>
      </w:r>
    </w:p>
    <w:p>
      <w:pPr>
        <w:pStyle w:val="SourceCode"/>
      </w:pPr>
      <w:r>
        <w:rPr>
          <w:rStyle w:val="NormalTok"/>
        </w:rPr>
        <w:t xml:space="preserve">top_subzones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(Pop,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FunctionTok"/>
        </w:rPr>
        <w:t xml:space="preserve">ggplot</w:t>
      </w:r>
      <w:r>
        <w:rPr>
          <w:rStyle w:val="NormalTok"/>
        </w:rPr>
        <w:t xml:space="preserve">(top_subzones, </w:t>
      </w:r>
      <w:r>
        <w:rPr>
          <w:rStyle w:val="FunctionTok"/>
        </w:rPr>
        <w:t xml:space="preserve">aes</w:t>
      </w:r>
      <w:r>
        <w:rPr>
          <w:rStyle w:val="NormalTok"/>
        </w:rPr>
        <w:t xml:space="preserve">(</w:t>
      </w:r>
      <w:r>
        <w:rPr>
          <w:rStyle w:val="AttributeTok"/>
        </w:rPr>
        <w:t xml:space="preserve">x =</w:t>
      </w:r>
      <w:r>
        <w:rPr>
          <w:rStyle w:val="NormalTok"/>
        </w:rPr>
        <w:t xml:space="preserve"> Pop, </w:t>
      </w:r>
      <w:r>
        <w:rPr>
          <w:rStyle w:val="AttributeTok"/>
        </w:rPr>
        <w:t xml:space="preserve">y =</w:t>
      </w:r>
      <w:r>
        <w:rPr>
          <w:rStyle w:val="NormalTok"/>
        </w:rPr>
        <w:t xml:space="preserve"> </w:t>
      </w:r>
      <w:r>
        <w:rPr>
          <w:rStyle w:val="FunctionTok"/>
        </w:rPr>
        <w:t xml:space="preserve">fct_reorder</w:t>
      </w:r>
      <w:r>
        <w:rPr>
          <w:rStyle w:val="NormalTok"/>
        </w:rPr>
        <w:t xml:space="preserve">(SZ, Pop), </w:t>
      </w:r>
      <w:r>
        <w:rPr>
          <w:rStyle w:val="AttributeTok"/>
        </w:rPr>
        <w:t xml:space="preserve">fill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Most Populated Subzones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w:t>
      </w:r>
      <w:r>
        <w:rPr>
          <w:rStyle w:val="NormalTok"/>
        </w:rPr>
        <w:t xml:space="preserve">, </w:t>
      </w:r>
      <w:r>
        <w:rPr>
          <w:rStyle w:val="AttributeTok"/>
        </w:rPr>
        <w:t xml:space="preserve">y =</w:t>
      </w:r>
      <w:r>
        <w:rPr>
          <w:rStyle w:val="NormalTok"/>
        </w:rPr>
        <w:t xml:space="preserve"> </w:t>
      </w:r>
      <w:r>
        <w:rPr>
          <w:rStyle w:val="StringTok"/>
        </w:rPr>
        <w:t xml:space="preserve">"Subzone"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take-home_exercise1_files/figure-docx/unnamed-chunk-7-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Subzones in Jurong West, Tampines, and Woodlands are the most densely populated, likely requiring greater investment in local infrastructure.</w:t>
      </w:r>
    </w:p>
    <w:p>
      <w:r>
        <w:pict>
          <v:rect style="width:0;height:1.5pt" o:hralign="center" o:hrstd="t" o:hr="t"/>
        </w:pict>
      </w:r>
    </w:p>
    <w:bookmarkEnd w:id="46"/>
    <w:bookmarkStart w:id="50" w:name="X6563b446698a594990b572095743d0400edbae3"/>
    <w:p>
      <w:pPr>
        <w:pStyle w:val="Heading2"/>
      </w:pPr>
      <w:r>
        <w:t xml:space="preserve">4.6 Population Heatmap by Planning Area and Age Group (2024)</w:t>
      </w:r>
    </w:p>
    <w:p>
      <w:pPr>
        <w:pStyle w:val="SourceCode"/>
      </w:pPr>
      <w:r>
        <w:rPr>
          <w:rStyle w:val="NormalTok"/>
        </w:rPr>
        <w:t xml:space="preserve">heatmap_df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AgeGroup, </w:t>
      </w:r>
      <w:r>
        <w:rPr>
          <w:rStyle w:val="AttributeTok"/>
        </w:rPr>
        <w:t xml:space="preserve">values_from =</w:t>
      </w:r>
      <w:r>
        <w:rPr>
          <w:rStyle w:val="NormalTok"/>
        </w:rPr>
        <w:t xml:space="preserve"> Pop, </w:t>
      </w:r>
      <w:r>
        <w:rPr>
          <w:rStyle w:val="AttributeTok"/>
        </w:rPr>
        <w:t xml:space="preserve">values_fill =</w:t>
      </w:r>
      <w:r>
        <w:rPr>
          <w:rStyle w:val="NormalTok"/>
        </w:rPr>
        <w:t xml:space="preserve"> </w:t>
      </w:r>
      <w:r>
        <w:rPr>
          <w:rStyle w:val="DecValTok"/>
        </w:rPr>
        <w:t xml:space="preserve">0</w:t>
      </w:r>
      <w:r>
        <w:rPr>
          <w:rStyle w:val="NormalTok"/>
        </w:rPr>
        <w:t xml:space="preserve">)</w:t>
      </w:r>
      <w:r>
        <w:br/>
      </w:r>
      <w:r>
        <w:br/>
      </w:r>
      <w:r>
        <w:rPr>
          <w:rStyle w:val="NormalTok"/>
        </w:rPr>
        <w:t xml:space="preserve">heatmap_df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PA, </w:t>
      </w:r>
      <w:r>
        <w:rPr>
          <w:rStyle w:val="AttributeTok"/>
        </w:rPr>
        <w:t xml:space="preserve">names_to =</w:t>
      </w:r>
      <w:r>
        <w:rPr>
          <w:rStyle w:val="NormalTok"/>
        </w:rPr>
        <w:t xml:space="preserve"> </w:t>
      </w:r>
      <w:r>
        <w:rPr>
          <w:rStyle w:val="StringTok"/>
        </w:rPr>
        <w:t xml:space="preserve">"AgeGroup"</w:t>
      </w:r>
      <w:r>
        <w:rPr>
          <w:rStyle w:val="NormalTok"/>
        </w:rPr>
        <w:t xml:space="preserve">, </w:t>
      </w:r>
      <w:r>
        <w:rPr>
          <w:rStyle w:val="AttributeTok"/>
        </w:rPr>
        <w:t xml:space="preserve">values_to =</w:t>
      </w:r>
      <w:r>
        <w:rPr>
          <w:rStyle w:val="NormalTok"/>
        </w:rPr>
        <w:t xml:space="preserve"> </w:t>
      </w:r>
      <w:r>
        <w:rPr>
          <w:rStyle w:val="StringTok"/>
        </w:rPr>
        <w:t xml:space="preserve">"Pop"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PA, </w:t>
      </w:r>
      <w:r>
        <w:rPr>
          <w:rStyle w:val="AttributeTok"/>
        </w:rPr>
        <w:t xml:space="preserve">fill =</w:t>
      </w:r>
      <w:r>
        <w:rPr>
          <w:rStyle w:val="NormalTok"/>
        </w:rPr>
        <w:t xml:space="preserve"> Pop))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Heatmap by Planning Area and Age Group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take-home_exercise1_files/figure-docx/unnamed-chunk-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Interpretation:</w:t>
      </w:r>
      <w:r>
        <w:br/>
      </w:r>
      <w:r>
        <w:t xml:space="preserve">This matrix highlights how different age groups are distributed. Young clusters in Sengkang and Punggol; older residents dominate central areas.</w:t>
      </w:r>
    </w:p>
    <w:p>
      <w:r>
        <w:pict>
          <v:rect style="width:0;height:1.5pt" o:hralign="center" o:hrstd="t" o:hr="t"/>
        </w:pict>
      </w:r>
    </w:p>
    <w:bookmarkEnd w:id="50"/>
    <w:bookmarkEnd w:id="51"/>
    <w:bookmarkStart w:id="53" w:name="statistical-summary"/>
    <w:p>
      <w:pPr>
        <w:pStyle w:val="Heading1"/>
      </w:pPr>
      <w:r>
        <w:t xml:space="preserve">5. Statistical Summary</w:t>
      </w:r>
    </w:p>
    <w:p>
      <w:pPr>
        <w:pStyle w:val="SourceCode"/>
      </w:pPr>
      <w:r>
        <w:rPr>
          <w:rStyle w:val="NormalTok"/>
        </w:rPr>
        <w:t xml:space="preserve">summary_df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Median_Age =</w:t>
      </w:r>
      <w:r>
        <w:rPr>
          <w:rStyle w:val="NormalTok"/>
        </w:rPr>
        <w:t xml:space="preserve"> </w:t>
      </w:r>
      <w:r>
        <w:rPr>
          <w:rStyle w:val="FunctionTok"/>
        </w:rPr>
        <w:t xml:space="preserve">median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Elderly_Pct =</w:t>
      </w:r>
      <w:r>
        <w:rPr>
          <w:rStyle w:val="NormalTok"/>
        </w:rPr>
        <w:t xml:space="preserve"> </w:t>
      </w:r>
      <w:r>
        <w:rPr>
          <w:rStyle w:val="FunctionTok"/>
        </w:rPr>
        <w:t xml:space="preserve">sum</w:t>
      </w:r>
      <w:r>
        <w:rPr>
          <w:rStyle w:val="NormalTok"/>
        </w:rPr>
        <w:t xml:space="preserve">(Pop[Age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SZ)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CV =</w:t>
      </w:r>
      <w:r>
        <w:rPr>
          <w:rStyle w:val="NormalTok"/>
        </w:rPr>
        <w:t xml:space="preserve"> </w:t>
      </w:r>
      <w:r>
        <w:rPr>
          <w:rStyle w:val="FunctionTok"/>
        </w:rPr>
        <w:t xml:space="preserve">sd</w:t>
      </w:r>
      <w:r>
        <w:rPr>
          <w:rStyle w:val="NormalTok"/>
        </w:rPr>
        <w:t xml:space="preserve">(Pop) </w:t>
      </w:r>
      <w:r>
        <w:rPr>
          <w:rStyle w:val="SpecialCharTok"/>
        </w:rPr>
        <w:t xml:space="preserve">/</w:t>
      </w:r>
      <w:r>
        <w:rPr>
          <w:rStyle w:val="NormalTok"/>
        </w:rPr>
        <w:t xml:space="preserve"> </w:t>
      </w:r>
      <w:r>
        <w:rPr>
          <w:rStyle w:val="FunctionTok"/>
        </w:rPr>
        <w:t xml:space="preserve">mean</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kable</w:t>
      </w:r>
      <w:r>
        <w:rPr>
          <w:rStyle w:val="NormalTok"/>
        </w:rPr>
        <w:t xml:space="preserve">(summary_df,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"Demographic Statistics by Planning Area"</w:t>
      </w:r>
      <w:r>
        <w:rPr>
          <w:rStyle w:val="NormalTok"/>
        </w:rPr>
        <w:t xml:space="preserve">)</w:t>
      </w:r>
    </w:p>
    <w:p>
      <w:pPr>
        <w:pStyle w:val="TableCaption"/>
      </w:pPr>
      <w:r>
        <w:t xml:space="preserve">Demographic Statistics by Planning Area</w:t>
      </w:r>
    </w:p>
    <w:tbl>
      <w:tblPr>
        <w:tblStyle w:val="Table"/>
        <w:tblW w:type="auto" w:w="0"/>
        <w:tblLook w:firstRow="1" w:lastRow="0" w:firstColumn="0" w:lastColumn="0" w:noHBand="0" w:noVBand="0" w:val="0020"/>
        <w:jc w:val="start"/>
        <w:tblCaption w:val="Demographic Statistics by Planning Area"/>
      </w:tblPr>
      <w:tblGrid>
        <w:gridCol w:w="1980"/>
        <w:gridCol w:w="1980"/>
        <w:gridCol w:w="1980"/>
        <w:gridCol w:w="1980"/>
      </w:tblGrid>
      <w:tr>
        <w:trPr>
          <w:tblHeader w:val="true"/>
        </w:trPr>
        <w:tc>
          <w:tcPr/>
          <w:p>
            <w:pPr>
              <w:pStyle w:val="Compact"/>
              <w:jc w:val="left"/>
            </w:pPr>
            <w:r>
              <w:t xml:space="preserve">PA</w:t>
            </w:r>
          </w:p>
        </w:tc>
        <w:tc>
          <w:tcPr/>
          <w:p>
            <w:pPr>
              <w:pStyle w:val="Compact"/>
              <w:jc w:val="right"/>
            </w:pPr>
            <w:r>
              <w:t xml:space="preserve">Median_Age</w:t>
            </w:r>
          </w:p>
        </w:tc>
        <w:tc>
          <w:tcPr/>
          <w:p>
            <w:pPr>
              <w:pStyle w:val="Compact"/>
              <w:jc w:val="right"/>
            </w:pPr>
            <w:r>
              <w:t xml:space="preserve">Elderly_Pct</w:t>
            </w:r>
          </w:p>
        </w:tc>
        <w:tc>
          <w:tcPr/>
          <w:p>
            <w:pPr>
              <w:pStyle w:val="Compact"/>
              <w:jc w:val="right"/>
            </w:pPr>
            <w:r>
              <w:t xml:space="preserve">CV</w:t>
            </w:r>
          </w:p>
        </w:tc>
      </w:tr>
      <w:tr>
        <w:tc>
          <w:tcPr/>
          <w:p>
            <w:pPr>
              <w:pStyle w:val="Compact"/>
              <w:jc w:val="left"/>
            </w:pPr>
            <w:r>
              <w:t xml:space="preserve">Ang Mo Kio</w:t>
            </w:r>
          </w:p>
        </w:tc>
        <w:tc>
          <w:tcPr/>
          <w:p>
            <w:pPr>
              <w:pStyle w:val="Compact"/>
              <w:jc w:val="right"/>
            </w:pPr>
            <w:r>
              <w:t xml:space="preserve">44.5</w:t>
            </w:r>
          </w:p>
        </w:tc>
        <w:tc>
          <w:tcPr/>
          <w:p>
            <w:pPr>
              <w:pStyle w:val="Compact"/>
              <w:jc w:val="right"/>
            </w:pPr>
            <w:r>
              <w:t xml:space="preserve">24.31</w:t>
            </w:r>
          </w:p>
        </w:tc>
        <w:tc>
          <w:tcPr/>
          <w:p>
            <w:pPr>
              <w:pStyle w:val="Compact"/>
              <w:jc w:val="right"/>
            </w:pPr>
            <w:r>
              <w:t xml:space="preserve">0.77</w:t>
            </w:r>
          </w:p>
        </w:tc>
      </w:tr>
      <w:tr>
        <w:tc>
          <w:tcPr/>
          <w:p>
            <w:pPr>
              <w:pStyle w:val="Compact"/>
              <w:jc w:val="left"/>
            </w:pPr>
            <w:r>
              <w:t xml:space="preserve">Bedok</w:t>
            </w:r>
          </w:p>
        </w:tc>
        <w:tc>
          <w:tcPr/>
          <w:p>
            <w:pPr>
              <w:pStyle w:val="Compact"/>
              <w:jc w:val="right"/>
            </w:pPr>
            <w:r>
              <w:t xml:space="preserve">44.5</w:t>
            </w:r>
          </w:p>
        </w:tc>
        <w:tc>
          <w:tcPr/>
          <w:p>
            <w:pPr>
              <w:pStyle w:val="Compact"/>
              <w:jc w:val="right"/>
            </w:pPr>
            <w:r>
              <w:t xml:space="preserve">21.89</w:t>
            </w:r>
          </w:p>
        </w:tc>
        <w:tc>
          <w:tcPr/>
          <w:p>
            <w:pPr>
              <w:pStyle w:val="Compact"/>
              <w:jc w:val="right"/>
            </w:pPr>
            <w:r>
              <w:t xml:space="preserve">0.68</w:t>
            </w:r>
          </w:p>
        </w:tc>
      </w:tr>
      <w:tr>
        <w:tc>
          <w:tcPr/>
          <w:p>
            <w:pPr>
              <w:pStyle w:val="Compact"/>
              <w:jc w:val="left"/>
            </w:pPr>
            <w:r>
              <w:t xml:space="preserve">Bishan</w:t>
            </w:r>
          </w:p>
        </w:tc>
        <w:tc>
          <w:tcPr/>
          <w:p>
            <w:pPr>
              <w:pStyle w:val="Compact"/>
              <w:jc w:val="right"/>
            </w:pPr>
            <w:r>
              <w:t xml:space="preserve">44.5</w:t>
            </w:r>
          </w:p>
        </w:tc>
        <w:tc>
          <w:tcPr/>
          <w:p>
            <w:pPr>
              <w:pStyle w:val="Compact"/>
              <w:jc w:val="right"/>
            </w:pPr>
            <w:r>
              <w:t xml:space="preserve">21.07</w:t>
            </w:r>
          </w:p>
        </w:tc>
        <w:tc>
          <w:tcPr/>
          <w:p>
            <w:pPr>
              <w:pStyle w:val="Compact"/>
              <w:jc w:val="right"/>
            </w:pPr>
            <w:r>
              <w:t xml:space="preserve">0.07</w:t>
            </w:r>
          </w:p>
        </w:tc>
      </w:tr>
      <w:tr>
        <w:tc>
          <w:tcPr/>
          <w:p>
            <w:pPr>
              <w:pStyle w:val="Compact"/>
              <w:jc w:val="left"/>
            </w:pPr>
            <w:r>
              <w:t xml:space="preserve">Boon Lay</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Bukit Batok</w:t>
            </w:r>
          </w:p>
        </w:tc>
        <w:tc>
          <w:tcPr/>
          <w:p>
            <w:pPr>
              <w:pStyle w:val="Compact"/>
              <w:jc w:val="right"/>
            </w:pPr>
            <w:r>
              <w:t xml:space="preserve">44.5</w:t>
            </w:r>
          </w:p>
        </w:tc>
        <w:tc>
          <w:tcPr/>
          <w:p>
            <w:pPr>
              <w:pStyle w:val="Compact"/>
              <w:jc w:val="right"/>
            </w:pPr>
            <w:r>
              <w:t xml:space="preserve">16.72</w:t>
            </w:r>
          </w:p>
        </w:tc>
        <w:tc>
          <w:tcPr/>
          <w:p>
            <w:pPr>
              <w:pStyle w:val="Compact"/>
              <w:jc w:val="right"/>
            </w:pPr>
            <w:r>
              <w:t xml:space="preserve">0.41</w:t>
            </w:r>
          </w:p>
        </w:tc>
      </w:tr>
      <w:tr>
        <w:tc>
          <w:tcPr/>
          <w:p>
            <w:pPr>
              <w:pStyle w:val="Compact"/>
              <w:jc w:val="left"/>
            </w:pPr>
            <w:r>
              <w:t xml:space="preserve">Bukit Merah</w:t>
            </w:r>
          </w:p>
        </w:tc>
        <w:tc>
          <w:tcPr/>
          <w:p>
            <w:pPr>
              <w:pStyle w:val="Compact"/>
              <w:jc w:val="right"/>
            </w:pPr>
            <w:r>
              <w:t xml:space="preserve">44.5</w:t>
            </w:r>
          </w:p>
        </w:tc>
        <w:tc>
          <w:tcPr/>
          <w:p>
            <w:pPr>
              <w:pStyle w:val="Compact"/>
              <w:jc w:val="right"/>
            </w:pPr>
            <w:r>
              <w:t xml:space="preserve">23.37</w:t>
            </w:r>
          </w:p>
        </w:tc>
        <w:tc>
          <w:tcPr/>
          <w:p>
            <w:pPr>
              <w:pStyle w:val="Compact"/>
              <w:jc w:val="right"/>
            </w:pPr>
            <w:r>
              <w:t xml:space="preserve">0.63</w:t>
            </w:r>
          </w:p>
        </w:tc>
      </w:tr>
      <w:tr>
        <w:tc>
          <w:tcPr/>
          <w:p>
            <w:pPr>
              <w:pStyle w:val="Compact"/>
              <w:jc w:val="left"/>
            </w:pPr>
            <w:r>
              <w:t xml:space="preserve">Bukit Panjang</w:t>
            </w:r>
          </w:p>
        </w:tc>
        <w:tc>
          <w:tcPr/>
          <w:p>
            <w:pPr>
              <w:pStyle w:val="Compact"/>
              <w:jc w:val="right"/>
            </w:pPr>
            <w:r>
              <w:t xml:space="preserve">44.5</w:t>
            </w:r>
          </w:p>
        </w:tc>
        <w:tc>
          <w:tcPr/>
          <w:p>
            <w:pPr>
              <w:pStyle w:val="Compact"/>
              <w:jc w:val="right"/>
            </w:pPr>
            <w:r>
              <w:t xml:space="preserve">16.52</w:t>
            </w:r>
          </w:p>
        </w:tc>
        <w:tc>
          <w:tcPr/>
          <w:p>
            <w:pPr>
              <w:pStyle w:val="Compact"/>
              <w:jc w:val="right"/>
            </w:pPr>
            <w:r>
              <w:t xml:space="preserve">0.50</w:t>
            </w:r>
          </w:p>
        </w:tc>
      </w:tr>
      <w:tr>
        <w:tc>
          <w:tcPr/>
          <w:p>
            <w:pPr>
              <w:pStyle w:val="Compact"/>
              <w:jc w:val="left"/>
            </w:pPr>
            <w:r>
              <w:t xml:space="preserve">Bukit Timah</w:t>
            </w:r>
          </w:p>
        </w:tc>
        <w:tc>
          <w:tcPr/>
          <w:p>
            <w:pPr>
              <w:pStyle w:val="Compact"/>
              <w:jc w:val="right"/>
            </w:pPr>
            <w:r>
              <w:t xml:space="preserve">44.5</w:t>
            </w:r>
          </w:p>
        </w:tc>
        <w:tc>
          <w:tcPr/>
          <w:p>
            <w:pPr>
              <w:pStyle w:val="Compact"/>
              <w:jc w:val="right"/>
            </w:pPr>
            <w:r>
              <w:t xml:space="preserve">17.40</w:t>
            </w:r>
          </w:p>
        </w:tc>
        <w:tc>
          <w:tcPr/>
          <w:p>
            <w:pPr>
              <w:pStyle w:val="Compact"/>
              <w:jc w:val="right"/>
            </w:pPr>
            <w:r>
              <w:t xml:space="preserve">0.52</w:t>
            </w:r>
          </w:p>
        </w:tc>
      </w:tr>
      <w:tr>
        <w:tc>
          <w:tcPr/>
          <w:p>
            <w:pPr>
              <w:pStyle w:val="Compact"/>
              <w:jc w:val="left"/>
            </w:pPr>
            <w:r>
              <w:t xml:space="preserve">Central Water Catchment</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Changi</w:t>
            </w:r>
          </w:p>
        </w:tc>
        <w:tc>
          <w:tcPr/>
          <w:p>
            <w:pPr>
              <w:pStyle w:val="Compact"/>
              <w:jc w:val="right"/>
            </w:pPr>
            <w:r>
              <w:t xml:space="preserve">44.5</w:t>
            </w:r>
          </w:p>
        </w:tc>
        <w:tc>
          <w:tcPr/>
          <w:p>
            <w:pPr>
              <w:pStyle w:val="Compact"/>
              <w:jc w:val="right"/>
            </w:pPr>
            <w:r>
              <w:t xml:space="preserve">9.84</w:t>
            </w:r>
          </w:p>
        </w:tc>
        <w:tc>
          <w:tcPr/>
          <w:p>
            <w:pPr>
              <w:pStyle w:val="Compact"/>
              <w:jc w:val="right"/>
            </w:pPr>
            <w:r>
              <w:t xml:space="preserve">1.13</w:t>
            </w:r>
          </w:p>
        </w:tc>
      </w:tr>
      <w:tr>
        <w:tc>
          <w:tcPr/>
          <w:p>
            <w:pPr>
              <w:pStyle w:val="Compact"/>
              <w:jc w:val="left"/>
            </w:pPr>
            <w:r>
              <w:t xml:space="preserve">Changi Bay</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Choa Chu Kang</w:t>
            </w:r>
          </w:p>
        </w:tc>
        <w:tc>
          <w:tcPr/>
          <w:p>
            <w:pPr>
              <w:pStyle w:val="Compact"/>
              <w:jc w:val="right"/>
            </w:pPr>
            <w:r>
              <w:t xml:space="preserve">44.5</w:t>
            </w:r>
          </w:p>
        </w:tc>
        <w:tc>
          <w:tcPr/>
          <w:p>
            <w:pPr>
              <w:pStyle w:val="Compact"/>
              <w:jc w:val="right"/>
            </w:pPr>
            <w:r>
              <w:t xml:space="preserve">13.66</w:t>
            </w:r>
          </w:p>
        </w:tc>
        <w:tc>
          <w:tcPr/>
          <w:p>
            <w:pPr>
              <w:pStyle w:val="Compact"/>
              <w:jc w:val="right"/>
            </w:pPr>
            <w:r>
              <w:t xml:space="preserve">0.23</w:t>
            </w:r>
          </w:p>
        </w:tc>
      </w:tr>
      <w:tr>
        <w:tc>
          <w:tcPr/>
          <w:p>
            <w:pPr>
              <w:pStyle w:val="Compact"/>
              <w:jc w:val="left"/>
            </w:pPr>
            <w:r>
              <w:t xml:space="preserve">Clementi</w:t>
            </w:r>
          </w:p>
        </w:tc>
        <w:tc>
          <w:tcPr/>
          <w:p>
            <w:pPr>
              <w:pStyle w:val="Compact"/>
              <w:jc w:val="right"/>
            </w:pPr>
            <w:r>
              <w:t xml:space="preserve">44.5</w:t>
            </w:r>
          </w:p>
        </w:tc>
        <w:tc>
          <w:tcPr/>
          <w:p>
            <w:pPr>
              <w:pStyle w:val="Compact"/>
              <w:jc w:val="right"/>
            </w:pPr>
            <w:r>
              <w:t xml:space="preserve">20.07</w:t>
            </w:r>
          </w:p>
        </w:tc>
        <w:tc>
          <w:tcPr/>
          <w:p>
            <w:pPr>
              <w:pStyle w:val="Compact"/>
              <w:jc w:val="right"/>
            </w:pPr>
            <w:r>
              <w:t xml:space="preserve">0.85</w:t>
            </w:r>
          </w:p>
        </w:tc>
      </w:tr>
      <w:tr>
        <w:tc>
          <w:tcPr/>
          <w:p>
            <w:pPr>
              <w:pStyle w:val="Compact"/>
              <w:jc w:val="left"/>
            </w:pPr>
            <w:r>
              <w:t xml:space="preserve">Downtown Core</w:t>
            </w:r>
          </w:p>
        </w:tc>
        <w:tc>
          <w:tcPr/>
          <w:p>
            <w:pPr>
              <w:pStyle w:val="Compact"/>
              <w:jc w:val="right"/>
            </w:pPr>
            <w:r>
              <w:t xml:space="preserve">44.5</w:t>
            </w:r>
          </w:p>
        </w:tc>
        <w:tc>
          <w:tcPr/>
          <w:p>
            <w:pPr>
              <w:pStyle w:val="Compact"/>
              <w:jc w:val="right"/>
            </w:pPr>
            <w:r>
              <w:t xml:space="preserve">7.91</w:t>
            </w:r>
          </w:p>
        </w:tc>
        <w:tc>
          <w:tcPr/>
          <w:p>
            <w:pPr>
              <w:pStyle w:val="Compact"/>
              <w:jc w:val="right"/>
            </w:pPr>
            <w:r>
              <w:t xml:space="preserve">1.61</w:t>
            </w:r>
          </w:p>
        </w:tc>
      </w:tr>
      <w:tr>
        <w:tc>
          <w:tcPr/>
          <w:p>
            <w:pPr>
              <w:pStyle w:val="Compact"/>
              <w:jc w:val="left"/>
            </w:pPr>
            <w:r>
              <w:t xml:space="preserve">Geylang</w:t>
            </w:r>
          </w:p>
        </w:tc>
        <w:tc>
          <w:tcPr/>
          <w:p>
            <w:pPr>
              <w:pStyle w:val="Compact"/>
              <w:jc w:val="right"/>
            </w:pPr>
            <w:r>
              <w:t xml:space="preserve">44.5</w:t>
            </w:r>
          </w:p>
        </w:tc>
        <w:tc>
          <w:tcPr/>
          <w:p>
            <w:pPr>
              <w:pStyle w:val="Compact"/>
              <w:jc w:val="right"/>
            </w:pPr>
            <w:r>
              <w:t xml:space="preserve">20.58</w:t>
            </w:r>
          </w:p>
        </w:tc>
        <w:tc>
          <w:tcPr/>
          <w:p>
            <w:pPr>
              <w:pStyle w:val="Compact"/>
              <w:jc w:val="right"/>
            </w:pPr>
            <w:r>
              <w:t xml:space="preserve">0.72</w:t>
            </w:r>
          </w:p>
        </w:tc>
      </w:tr>
      <w:tr>
        <w:tc>
          <w:tcPr/>
          <w:p>
            <w:pPr>
              <w:pStyle w:val="Compact"/>
              <w:jc w:val="left"/>
            </w:pPr>
            <w:r>
              <w:t xml:space="preserve">Hougang</w:t>
            </w:r>
          </w:p>
        </w:tc>
        <w:tc>
          <w:tcPr/>
          <w:p>
            <w:pPr>
              <w:pStyle w:val="Compact"/>
              <w:jc w:val="right"/>
            </w:pPr>
            <w:r>
              <w:t xml:space="preserve">44.5</w:t>
            </w:r>
          </w:p>
        </w:tc>
        <w:tc>
          <w:tcPr/>
          <w:p>
            <w:pPr>
              <w:pStyle w:val="Compact"/>
              <w:jc w:val="right"/>
            </w:pPr>
            <w:r>
              <w:t xml:space="preserve">19.51</w:t>
            </w:r>
          </w:p>
        </w:tc>
        <w:tc>
          <w:tcPr/>
          <w:p>
            <w:pPr>
              <w:pStyle w:val="Compact"/>
              <w:jc w:val="right"/>
            </w:pPr>
            <w:r>
              <w:t xml:space="preserve">0.78</w:t>
            </w:r>
          </w:p>
        </w:tc>
      </w:tr>
      <w:tr>
        <w:tc>
          <w:tcPr/>
          <w:p>
            <w:pPr>
              <w:pStyle w:val="Compact"/>
              <w:jc w:val="left"/>
            </w:pPr>
            <w:r>
              <w:t xml:space="preserve">Jurong East</w:t>
            </w:r>
          </w:p>
        </w:tc>
        <w:tc>
          <w:tcPr/>
          <w:p>
            <w:pPr>
              <w:pStyle w:val="Compact"/>
              <w:jc w:val="right"/>
            </w:pPr>
            <w:r>
              <w:t xml:space="preserve">44.5</w:t>
            </w:r>
          </w:p>
        </w:tc>
        <w:tc>
          <w:tcPr/>
          <w:p>
            <w:pPr>
              <w:pStyle w:val="Compact"/>
              <w:jc w:val="right"/>
            </w:pPr>
            <w:r>
              <w:t xml:space="preserve">23.13</w:t>
            </w:r>
          </w:p>
        </w:tc>
        <w:tc>
          <w:tcPr/>
          <w:p>
            <w:pPr>
              <w:pStyle w:val="Compact"/>
              <w:jc w:val="right"/>
            </w:pPr>
            <w:r>
              <w:t xml:space="preserve">1.40</w:t>
            </w:r>
          </w:p>
        </w:tc>
      </w:tr>
      <w:tr>
        <w:tc>
          <w:tcPr/>
          <w:p>
            <w:pPr>
              <w:pStyle w:val="Compact"/>
              <w:jc w:val="left"/>
            </w:pPr>
            <w:r>
              <w:t xml:space="preserve">Jurong West</w:t>
            </w:r>
          </w:p>
        </w:tc>
        <w:tc>
          <w:tcPr/>
          <w:p>
            <w:pPr>
              <w:pStyle w:val="Compact"/>
              <w:jc w:val="right"/>
            </w:pPr>
            <w:r>
              <w:t xml:space="preserve">44.5</w:t>
            </w:r>
          </w:p>
        </w:tc>
        <w:tc>
          <w:tcPr/>
          <w:p>
            <w:pPr>
              <w:pStyle w:val="Compact"/>
              <w:jc w:val="right"/>
            </w:pPr>
            <w:r>
              <w:t xml:space="preserve">16.12</w:t>
            </w:r>
          </w:p>
        </w:tc>
        <w:tc>
          <w:tcPr/>
          <w:p>
            <w:pPr>
              <w:pStyle w:val="Compact"/>
              <w:jc w:val="right"/>
            </w:pPr>
            <w:r>
              <w:t xml:space="preserve">0.96</w:t>
            </w:r>
          </w:p>
        </w:tc>
      </w:tr>
      <w:tr>
        <w:tc>
          <w:tcPr/>
          <w:p>
            <w:pPr>
              <w:pStyle w:val="Compact"/>
              <w:jc w:val="left"/>
            </w:pPr>
            <w:r>
              <w:t xml:space="preserve">Kallang</w:t>
            </w:r>
          </w:p>
        </w:tc>
        <w:tc>
          <w:tcPr/>
          <w:p>
            <w:pPr>
              <w:pStyle w:val="Compact"/>
              <w:jc w:val="right"/>
            </w:pPr>
            <w:r>
              <w:t xml:space="preserve">44.5</w:t>
            </w:r>
          </w:p>
        </w:tc>
        <w:tc>
          <w:tcPr/>
          <w:p>
            <w:pPr>
              <w:pStyle w:val="Compact"/>
              <w:jc w:val="right"/>
            </w:pPr>
            <w:r>
              <w:t xml:space="preserve">22.47</w:t>
            </w:r>
          </w:p>
        </w:tc>
        <w:tc>
          <w:tcPr/>
          <w:p>
            <w:pPr>
              <w:pStyle w:val="Compact"/>
              <w:jc w:val="right"/>
            </w:pPr>
            <w:r>
              <w:t xml:space="preserve">0.94</w:t>
            </w:r>
          </w:p>
        </w:tc>
      </w:tr>
      <w:tr>
        <w:tc>
          <w:tcPr/>
          <w:p>
            <w:pPr>
              <w:pStyle w:val="Compact"/>
              <w:jc w:val="left"/>
            </w:pPr>
            <w:r>
              <w:t xml:space="preserve">Lim Chu Kang</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Mandai</w:t>
            </w:r>
          </w:p>
        </w:tc>
        <w:tc>
          <w:tcPr/>
          <w:p>
            <w:pPr>
              <w:pStyle w:val="Compact"/>
              <w:jc w:val="right"/>
            </w:pPr>
            <w:r>
              <w:t xml:space="preserve">44.5</w:t>
            </w:r>
          </w:p>
        </w:tc>
        <w:tc>
          <w:tcPr/>
          <w:p>
            <w:pPr>
              <w:pStyle w:val="Compact"/>
              <w:jc w:val="right"/>
            </w:pPr>
            <w:r>
              <w:t xml:space="preserve">15.02</w:t>
            </w:r>
          </w:p>
        </w:tc>
        <w:tc>
          <w:tcPr/>
          <w:p>
            <w:pPr>
              <w:pStyle w:val="Compact"/>
              <w:jc w:val="right"/>
            </w:pPr>
            <w:r>
              <w:t xml:space="preserve">1.73</w:t>
            </w:r>
          </w:p>
        </w:tc>
      </w:tr>
      <w:tr>
        <w:tc>
          <w:tcPr/>
          <w:p>
            <w:pPr>
              <w:pStyle w:val="Compact"/>
              <w:jc w:val="left"/>
            </w:pPr>
            <w:r>
              <w:t xml:space="preserve">Marina East</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Marina South</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Marine Parade</w:t>
            </w:r>
          </w:p>
        </w:tc>
        <w:tc>
          <w:tcPr/>
          <w:p>
            <w:pPr>
              <w:pStyle w:val="Compact"/>
              <w:jc w:val="right"/>
            </w:pPr>
            <w:r>
              <w:t xml:space="preserve">44.5</w:t>
            </w:r>
          </w:p>
        </w:tc>
        <w:tc>
          <w:tcPr/>
          <w:p>
            <w:pPr>
              <w:pStyle w:val="Compact"/>
              <w:jc w:val="right"/>
            </w:pPr>
            <w:r>
              <w:t xml:space="preserve">20.15</w:t>
            </w:r>
          </w:p>
        </w:tc>
        <w:tc>
          <w:tcPr/>
          <w:p>
            <w:pPr>
              <w:pStyle w:val="Compact"/>
              <w:jc w:val="right"/>
            </w:pPr>
            <w:r>
              <w:t xml:space="preserve">1.18</w:t>
            </w:r>
          </w:p>
        </w:tc>
      </w:tr>
      <w:tr>
        <w:tc>
          <w:tcPr/>
          <w:p>
            <w:pPr>
              <w:pStyle w:val="Compact"/>
              <w:jc w:val="left"/>
            </w:pPr>
            <w:r>
              <w:t xml:space="preserve">Museum</w:t>
            </w:r>
          </w:p>
        </w:tc>
        <w:tc>
          <w:tcPr/>
          <w:p>
            <w:pPr>
              <w:pStyle w:val="Compact"/>
              <w:jc w:val="right"/>
            </w:pPr>
            <w:r>
              <w:t xml:space="preserve">44.5</w:t>
            </w:r>
          </w:p>
        </w:tc>
        <w:tc>
          <w:tcPr/>
          <w:p>
            <w:pPr>
              <w:pStyle w:val="Compact"/>
              <w:jc w:val="right"/>
            </w:pPr>
            <w:r>
              <w:t xml:space="preserve">0.00</w:t>
            </w:r>
          </w:p>
        </w:tc>
        <w:tc>
          <w:tcPr/>
          <w:p>
            <w:pPr>
              <w:pStyle w:val="Compact"/>
              <w:jc w:val="right"/>
            </w:pPr>
            <w:r>
              <w:t xml:space="preserve">1.54</w:t>
            </w:r>
          </w:p>
        </w:tc>
      </w:tr>
      <w:tr>
        <w:tc>
          <w:tcPr/>
          <w:p>
            <w:pPr>
              <w:pStyle w:val="Compact"/>
              <w:jc w:val="left"/>
            </w:pPr>
            <w:r>
              <w:t xml:space="preserve">Newton</w:t>
            </w:r>
          </w:p>
        </w:tc>
        <w:tc>
          <w:tcPr/>
          <w:p>
            <w:pPr>
              <w:pStyle w:val="Compact"/>
              <w:jc w:val="right"/>
            </w:pPr>
            <w:r>
              <w:t xml:space="preserve">44.5</w:t>
            </w:r>
          </w:p>
        </w:tc>
        <w:tc>
          <w:tcPr/>
          <w:p>
            <w:pPr>
              <w:pStyle w:val="Compact"/>
              <w:jc w:val="right"/>
            </w:pPr>
            <w:r>
              <w:t xml:space="preserve">13.82</w:t>
            </w:r>
          </w:p>
        </w:tc>
        <w:tc>
          <w:tcPr/>
          <w:p>
            <w:pPr>
              <w:pStyle w:val="Compact"/>
              <w:jc w:val="right"/>
            </w:pPr>
            <w:r>
              <w:t xml:space="preserve">1.06</w:t>
            </w:r>
          </w:p>
        </w:tc>
      </w:tr>
      <w:tr>
        <w:tc>
          <w:tcPr/>
          <w:p>
            <w:pPr>
              <w:pStyle w:val="Compact"/>
              <w:jc w:val="left"/>
            </w:pPr>
            <w:r>
              <w:t xml:space="preserve">North-Eastern Islands</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Novena</w:t>
            </w:r>
          </w:p>
        </w:tc>
        <w:tc>
          <w:tcPr/>
          <w:p>
            <w:pPr>
              <w:pStyle w:val="Compact"/>
              <w:jc w:val="right"/>
            </w:pPr>
            <w:r>
              <w:t xml:space="preserve">44.5</w:t>
            </w:r>
          </w:p>
        </w:tc>
        <w:tc>
          <w:tcPr/>
          <w:p>
            <w:pPr>
              <w:pStyle w:val="Compact"/>
              <w:jc w:val="right"/>
            </w:pPr>
            <w:r>
              <w:t xml:space="preserve">17.70</w:t>
            </w:r>
          </w:p>
        </w:tc>
        <w:tc>
          <w:tcPr/>
          <w:p>
            <w:pPr>
              <w:pStyle w:val="Compact"/>
              <w:jc w:val="right"/>
            </w:pPr>
            <w:r>
              <w:t xml:space="preserve">1.26</w:t>
            </w:r>
          </w:p>
        </w:tc>
      </w:tr>
      <w:tr>
        <w:tc>
          <w:tcPr/>
          <w:p>
            <w:pPr>
              <w:pStyle w:val="Compact"/>
              <w:jc w:val="left"/>
            </w:pPr>
            <w:r>
              <w:t xml:space="preserve">Orchard</w:t>
            </w:r>
          </w:p>
        </w:tc>
        <w:tc>
          <w:tcPr/>
          <w:p>
            <w:pPr>
              <w:pStyle w:val="Compact"/>
              <w:jc w:val="right"/>
            </w:pPr>
            <w:r>
              <w:t xml:space="preserve">44.5</w:t>
            </w:r>
          </w:p>
        </w:tc>
        <w:tc>
          <w:tcPr/>
          <w:p>
            <w:pPr>
              <w:pStyle w:val="Compact"/>
              <w:jc w:val="right"/>
            </w:pPr>
            <w:r>
              <w:t xml:space="preserve">12.64</w:t>
            </w:r>
          </w:p>
        </w:tc>
        <w:tc>
          <w:tcPr/>
          <w:p>
            <w:pPr>
              <w:pStyle w:val="Compact"/>
              <w:jc w:val="right"/>
            </w:pPr>
            <w:r>
              <w:t xml:space="preserve">0.84</w:t>
            </w:r>
          </w:p>
        </w:tc>
      </w:tr>
      <w:tr>
        <w:tc>
          <w:tcPr/>
          <w:p>
            <w:pPr>
              <w:pStyle w:val="Compact"/>
              <w:jc w:val="left"/>
            </w:pPr>
            <w:r>
              <w:t xml:space="preserve">Outram</w:t>
            </w:r>
          </w:p>
        </w:tc>
        <w:tc>
          <w:tcPr/>
          <w:p>
            <w:pPr>
              <w:pStyle w:val="Compact"/>
              <w:jc w:val="right"/>
            </w:pPr>
            <w:r>
              <w:t xml:space="preserve">44.5</w:t>
            </w:r>
          </w:p>
        </w:tc>
        <w:tc>
          <w:tcPr/>
          <w:p>
            <w:pPr>
              <w:pStyle w:val="Compact"/>
              <w:jc w:val="right"/>
            </w:pPr>
            <w:r>
              <w:t xml:space="preserve">26.88</w:t>
            </w:r>
          </w:p>
        </w:tc>
        <w:tc>
          <w:tcPr/>
          <w:p>
            <w:pPr>
              <w:pStyle w:val="Compact"/>
              <w:jc w:val="right"/>
            </w:pPr>
            <w:r>
              <w:t xml:space="preserve">1.08</w:t>
            </w:r>
          </w:p>
        </w:tc>
      </w:tr>
      <w:tr>
        <w:tc>
          <w:tcPr/>
          <w:p>
            <w:pPr>
              <w:pStyle w:val="Compact"/>
              <w:jc w:val="left"/>
            </w:pPr>
            <w:r>
              <w:t xml:space="preserve">Pasir Ris</w:t>
            </w:r>
          </w:p>
        </w:tc>
        <w:tc>
          <w:tcPr/>
          <w:p>
            <w:pPr>
              <w:pStyle w:val="Compact"/>
              <w:jc w:val="right"/>
            </w:pPr>
            <w:r>
              <w:t xml:space="preserve">44.5</w:t>
            </w:r>
          </w:p>
        </w:tc>
        <w:tc>
          <w:tcPr/>
          <w:p>
            <w:pPr>
              <w:pStyle w:val="Compact"/>
              <w:jc w:val="right"/>
            </w:pPr>
            <w:r>
              <w:t xml:space="preserve">14.51</w:t>
            </w:r>
          </w:p>
        </w:tc>
        <w:tc>
          <w:tcPr/>
          <w:p>
            <w:pPr>
              <w:pStyle w:val="Compact"/>
              <w:jc w:val="right"/>
            </w:pPr>
            <w:r>
              <w:t xml:space="preserve">1.06</w:t>
            </w:r>
          </w:p>
        </w:tc>
      </w:tr>
      <w:tr>
        <w:tc>
          <w:tcPr/>
          <w:p>
            <w:pPr>
              <w:pStyle w:val="Compact"/>
              <w:jc w:val="left"/>
            </w:pPr>
            <w:r>
              <w:t xml:space="preserve">Paya Lebar</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Pioneer</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Punggol</w:t>
            </w:r>
          </w:p>
        </w:tc>
        <w:tc>
          <w:tcPr/>
          <w:p>
            <w:pPr>
              <w:pStyle w:val="Compact"/>
              <w:jc w:val="right"/>
            </w:pPr>
            <w:r>
              <w:t xml:space="preserve">44.5</w:t>
            </w:r>
          </w:p>
        </w:tc>
        <w:tc>
          <w:tcPr/>
          <w:p>
            <w:pPr>
              <w:pStyle w:val="Compact"/>
              <w:jc w:val="right"/>
            </w:pPr>
            <w:r>
              <w:t xml:space="preserve">9.22</w:t>
            </w:r>
          </w:p>
        </w:tc>
        <w:tc>
          <w:tcPr/>
          <w:p>
            <w:pPr>
              <w:pStyle w:val="Compact"/>
              <w:jc w:val="right"/>
            </w:pPr>
            <w:r>
              <w:t xml:space="preserve">0.84</w:t>
            </w:r>
          </w:p>
        </w:tc>
      </w:tr>
      <w:tr>
        <w:tc>
          <w:tcPr/>
          <w:p>
            <w:pPr>
              <w:pStyle w:val="Compact"/>
              <w:jc w:val="left"/>
            </w:pPr>
            <w:r>
              <w:t xml:space="preserve">Queenstown</w:t>
            </w:r>
          </w:p>
        </w:tc>
        <w:tc>
          <w:tcPr/>
          <w:p>
            <w:pPr>
              <w:pStyle w:val="Compact"/>
              <w:jc w:val="right"/>
            </w:pPr>
            <w:r>
              <w:t xml:space="preserve">44.5</w:t>
            </w:r>
          </w:p>
        </w:tc>
        <w:tc>
          <w:tcPr/>
          <w:p>
            <w:pPr>
              <w:pStyle w:val="Compact"/>
              <w:jc w:val="right"/>
            </w:pPr>
            <w:r>
              <w:t xml:space="preserve">21.05</w:t>
            </w:r>
          </w:p>
        </w:tc>
        <w:tc>
          <w:tcPr/>
          <w:p>
            <w:pPr>
              <w:pStyle w:val="Compact"/>
              <w:jc w:val="right"/>
            </w:pPr>
            <w:r>
              <w:t xml:space="preserve">1.07</w:t>
            </w:r>
          </w:p>
        </w:tc>
      </w:tr>
      <w:tr>
        <w:tc>
          <w:tcPr/>
          <w:p>
            <w:pPr>
              <w:pStyle w:val="Compact"/>
              <w:jc w:val="left"/>
            </w:pPr>
            <w:r>
              <w:t xml:space="preserve">River Valley</w:t>
            </w:r>
          </w:p>
        </w:tc>
        <w:tc>
          <w:tcPr/>
          <w:p>
            <w:pPr>
              <w:pStyle w:val="Compact"/>
              <w:jc w:val="right"/>
            </w:pPr>
            <w:r>
              <w:t xml:space="preserve">44.5</w:t>
            </w:r>
          </w:p>
        </w:tc>
        <w:tc>
          <w:tcPr/>
          <w:p>
            <w:pPr>
              <w:pStyle w:val="Compact"/>
              <w:jc w:val="right"/>
            </w:pPr>
            <w:r>
              <w:t xml:space="preserve">13.12</w:t>
            </w:r>
          </w:p>
        </w:tc>
        <w:tc>
          <w:tcPr/>
          <w:p>
            <w:pPr>
              <w:pStyle w:val="Compact"/>
              <w:jc w:val="right"/>
            </w:pPr>
            <w:r>
              <w:t xml:space="preserve">0.65</w:t>
            </w:r>
          </w:p>
        </w:tc>
      </w:tr>
      <w:tr>
        <w:tc>
          <w:tcPr/>
          <w:p>
            <w:pPr>
              <w:pStyle w:val="Compact"/>
              <w:jc w:val="left"/>
            </w:pPr>
            <w:r>
              <w:t xml:space="preserve">Rochor</w:t>
            </w:r>
          </w:p>
        </w:tc>
        <w:tc>
          <w:tcPr/>
          <w:p>
            <w:pPr>
              <w:pStyle w:val="Compact"/>
              <w:jc w:val="right"/>
            </w:pPr>
            <w:r>
              <w:t xml:space="preserve">44.5</w:t>
            </w:r>
          </w:p>
        </w:tc>
        <w:tc>
          <w:tcPr/>
          <w:p>
            <w:pPr>
              <w:pStyle w:val="Compact"/>
              <w:jc w:val="right"/>
            </w:pPr>
            <w:r>
              <w:t xml:space="preserve">22.78</w:t>
            </w:r>
          </w:p>
        </w:tc>
        <w:tc>
          <w:tcPr/>
          <w:p>
            <w:pPr>
              <w:pStyle w:val="Compact"/>
              <w:jc w:val="right"/>
            </w:pPr>
            <w:r>
              <w:t xml:space="preserve">0.93</w:t>
            </w:r>
          </w:p>
        </w:tc>
      </w:tr>
      <w:tr>
        <w:tc>
          <w:tcPr/>
          <w:p>
            <w:pPr>
              <w:pStyle w:val="Compact"/>
              <w:jc w:val="left"/>
            </w:pPr>
            <w:r>
              <w:t xml:space="preserve">Seletar</w:t>
            </w:r>
          </w:p>
        </w:tc>
        <w:tc>
          <w:tcPr/>
          <w:p>
            <w:pPr>
              <w:pStyle w:val="Compact"/>
              <w:jc w:val="right"/>
            </w:pPr>
            <w:r>
              <w:t xml:space="preserve">44.5</w:t>
            </w:r>
          </w:p>
        </w:tc>
        <w:tc>
          <w:tcPr/>
          <w:p>
            <w:pPr>
              <w:pStyle w:val="Compact"/>
              <w:jc w:val="right"/>
            </w:pPr>
            <w:r>
              <w:t xml:space="preserve">0.00</w:t>
            </w:r>
          </w:p>
        </w:tc>
        <w:tc>
          <w:tcPr/>
          <w:p>
            <w:pPr>
              <w:pStyle w:val="Compact"/>
              <w:jc w:val="right"/>
            </w:pPr>
            <w:r>
              <w:t xml:space="preserve">2.00</w:t>
            </w:r>
          </w:p>
        </w:tc>
      </w:tr>
      <w:tr>
        <w:tc>
          <w:tcPr/>
          <w:p>
            <w:pPr>
              <w:pStyle w:val="Compact"/>
              <w:jc w:val="left"/>
            </w:pPr>
            <w:r>
              <w:t xml:space="preserve">Sembawang</w:t>
            </w:r>
          </w:p>
        </w:tc>
        <w:tc>
          <w:tcPr/>
          <w:p>
            <w:pPr>
              <w:pStyle w:val="Compact"/>
              <w:jc w:val="right"/>
            </w:pPr>
            <w:r>
              <w:t xml:space="preserve">44.5</w:t>
            </w:r>
          </w:p>
        </w:tc>
        <w:tc>
          <w:tcPr/>
          <w:p>
            <w:pPr>
              <w:pStyle w:val="Compact"/>
              <w:jc w:val="right"/>
            </w:pPr>
            <w:r>
              <w:t xml:space="preserve">10.87</w:t>
            </w:r>
          </w:p>
        </w:tc>
        <w:tc>
          <w:tcPr/>
          <w:p>
            <w:pPr>
              <w:pStyle w:val="Compact"/>
              <w:jc w:val="right"/>
            </w:pPr>
            <w:r>
              <w:t xml:space="preserve">1.08</w:t>
            </w:r>
          </w:p>
        </w:tc>
      </w:tr>
      <w:tr>
        <w:tc>
          <w:tcPr/>
          <w:p>
            <w:pPr>
              <w:pStyle w:val="Compact"/>
              <w:jc w:val="left"/>
            </w:pPr>
            <w:r>
              <w:t xml:space="preserve">Sengkang</w:t>
            </w:r>
          </w:p>
        </w:tc>
        <w:tc>
          <w:tcPr/>
          <w:p>
            <w:pPr>
              <w:pStyle w:val="Compact"/>
              <w:jc w:val="right"/>
            </w:pPr>
            <w:r>
              <w:t xml:space="preserve">44.5</w:t>
            </w:r>
          </w:p>
        </w:tc>
        <w:tc>
          <w:tcPr/>
          <w:p>
            <w:pPr>
              <w:pStyle w:val="Compact"/>
              <w:jc w:val="right"/>
            </w:pPr>
            <w:r>
              <w:t xml:space="preserve">12.25</w:t>
            </w:r>
          </w:p>
        </w:tc>
        <w:tc>
          <w:tcPr/>
          <w:p>
            <w:pPr>
              <w:pStyle w:val="Compact"/>
              <w:jc w:val="right"/>
            </w:pPr>
            <w:r>
              <w:t xml:space="preserve">0.79</w:t>
            </w:r>
          </w:p>
        </w:tc>
      </w:tr>
      <w:tr>
        <w:tc>
          <w:tcPr/>
          <w:p>
            <w:pPr>
              <w:pStyle w:val="Compact"/>
              <w:jc w:val="left"/>
            </w:pPr>
            <w:r>
              <w:t xml:space="preserve">Serangoon</w:t>
            </w:r>
          </w:p>
        </w:tc>
        <w:tc>
          <w:tcPr/>
          <w:p>
            <w:pPr>
              <w:pStyle w:val="Compact"/>
              <w:jc w:val="right"/>
            </w:pPr>
            <w:r>
              <w:t xml:space="preserve">44.5</w:t>
            </w:r>
          </w:p>
        </w:tc>
        <w:tc>
          <w:tcPr/>
          <w:p>
            <w:pPr>
              <w:pStyle w:val="Compact"/>
              <w:jc w:val="right"/>
            </w:pPr>
            <w:r>
              <w:t xml:space="preserve">22.05</w:t>
            </w:r>
          </w:p>
        </w:tc>
        <w:tc>
          <w:tcPr/>
          <w:p>
            <w:pPr>
              <w:pStyle w:val="Compact"/>
              <w:jc w:val="right"/>
            </w:pPr>
            <w:r>
              <w:t xml:space="preserve">0.69</w:t>
            </w:r>
          </w:p>
        </w:tc>
      </w:tr>
      <w:tr>
        <w:tc>
          <w:tcPr/>
          <w:p>
            <w:pPr>
              <w:pStyle w:val="Compact"/>
              <w:jc w:val="left"/>
            </w:pPr>
            <w:r>
              <w:t xml:space="preserve">Simpang</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Singapore River</w:t>
            </w:r>
          </w:p>
        </w:tc>
        <w:tc>
          <w:tcPr/>
          <w:p>
            <w:pPr>
              <w:pStyle w:val="Compact"/>
              <w:jc w:val="right"/>
            </w:pPr>
            <w:r>
              <w:t xml:space="preserve">44.5</w:t>
            </w:r>
          </w:p>
        </w:tc>
        <w:tc>
          <w:tcPr/>
          <w:p>
            <w:pPr>
              <w:pStyle w:val="Compact"/>
              <w:jc w:val="right"/>
            </w:pPr>
            <w:r>
              <w:t xml:space="preserve">8.10</w:t>
            </w:r>
          </w:p>
        </w:tc>
        <w:tc>
          <w:tcPr/>
          <w:p>
            <w:pPr>
              <w:pStyle w:val="Compact"/>
              <w:jc w:val="right"/>
            </w:pPr>
            <w:r>
              <w:t xml:space="preserve">1.73</w:t>
            </w:r>
          </w:p>
        </w:tc>
      </w:tr>
      <w:tr>
        <w:tc>
          <w:tcPr/>
          <w:p>
            <w:pPr>
              <w:pStyle w:val="Compact"/>
              <w:jc w:val="left"/>
            </w:pPr>
            <w:r>
              <w:t xml:space="preserve">Southern Islands</w:t>
            </w:r>
          </w:p>
        </w:tc>
        <w:tc>
          <w:tcPr/>
          <w:p>
            <w:pPr>
              <w:pStyle w:val="Compact"/>
              <w:jc w:val="right"/>
            </w:pPr>
            <w:r>
              <w:t xml:space="preserve">44.5</w:t>
            </w:r>
          </w:p>
        </w:tc>
        <w:tc>
          <w:tcPr/>
          <w:p>
            <w:pPr>
              <w:pStyle w:val="Compact"/>
              <w:jc w:val="right"/>
            </w:pPr>
            <w:r>
              <w:t xml:space="preserve">8.53</w:t>
            </w:r>
          </w:p>
        </w:tc>
        <w:tc>
          <w:tcPr/>
          <w:p>
            <w:pPr>
              <w:pStyle w:val="Compact"/>
              <w:jc w:val="right"/>
            </w:pPr>
            <w:r>
              <w:t xml:space="preserve">1.41</w:t>
            </w:r>
          </w:p>
        </w:tc>
      </w:tr>
      <w:tr>
        <w:tc>
          <w:tcPr/>
          <w:p>
            <w:pPr>
              <w:pStyle w:val="Compact"/>
              <w:jc w:val="left"/>
            </w:pPr>
            <w:r>
              <w:t xml:space="preserve">Straits View</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w:t>
            </w:r>
          </w:p>
        </w:tc>
      </w:tr>
      <w:tr>
        <w:tc>
          <w:tcPr/>
          <w:p>
            <w:pPr>
              <w:pStyle w:val="Compact"/>
              <w:jc w:val="left"/>
            </w:pPr>
            <w:r>
              <w:t xml:space="preserve">Sungei Kadut</w:t>
            </w:r>
          </w:p>
        </w:tc>
        <w:tc>
          <w:tcPr/>
          <w:p>
            <w:pPr>
              <w:pStyle w:val="Compact"/>
              <w:jc w:val="right"/>
            </w:pPr>
            <w:r>
              <w:t xml:space="preserve">44.5</w:t>
            </w:r>
          </w:p>
        </w:tc>
        <w:tc>
          <w:tcPr/>
          <w:p>
            <w:pPr>
              <w:pStyle w:val="Compact"/>
              <w:jc w:val="right"/>
            </w:pPr>
            <w:r>
              <w:t xml:space="preserve">20.00</w:t>
            </w:r>
          </w:p>
        </w:tc>
        <w:tc>
          <w:tcPr/>
          <w:p>
            <w:pPr>
              <w:pStyle w:val="Compact"/>
              <w:jc w:val="right"/>
            </w:pPr>
            <w:r>
              <w:t xml:space="preserve">2.24</w:t>
            </w:r>
          </w:p>
        </w:tc>
      </w:tr>
      <w:tr>
        <w:tc>
          <w:tcPr/>
          <w:p>
            <w:pPr>
              <w:pStyle w:val="Compact"/>
              <w:jc w:val="left"/>
            </w:pPr>
            <w:r>
              <w:t xml:space="preserve">Tampines</w:t>
            </w:r>
          </w:p>
        </w:tc>
        <w:tc>
          <w:tcPr/>
          <w:p>
            <w:pPr>
              <w:pStyle w:val="Compact"/>
              <w:jc w:val="right"/>
            </w:pPr>
            <w:r>
              <w:t xml:space="preserve">44.5</w:t>
            </w:r>
          </w:p>
        </w:tc>
        <w:tc>
          <w:tcPr/>
          <w:p>
            <w:pPr>
              <w:pStyle w:val="Compact"/>
              <w:jc w:val="right"/>
            </w:pPr>
            <w:r>
              <w:t xml:space="preserve">17.44</w:t>
            </w:r>
          </w:p>
        </w:tc>
        <w:tc>
          <w:tcPr/>
          <w:p>
            <w:pPr>
              <w:pStyle w:val="Compact"/>
              <w:jc w:val="right"/>
            </w:pPr>
            <w:r>
              <w:t xml:space="preserve">0.87</w:t>
            </w:r>
          </w:p>
        </w:tc>
      </w:tr>
      <w:tr>
        <w:tc>
          <w:tcPr/>
          <w:p>
            <w:pPr>
              <w:pStyle w:val="Compact"/>
              <w:jc w:val="left"/>
            </w:pPr>
            <w:r>
              <w:t xml:space="preserve">Tanglin</w:t>
            </w:r>
          </w:p>
        </w:tc>
        <w:tc>
          <w:tcPr/>
          <w:p>
            <w:pPr>
              <w:pStyle w:val="Compact"/>
              <w:jc w:val="right"/>
            </w:pPr>
            <w:r>
              <w:t xml:space="preserve">44.5</w:t>
            </w:r>
          </w:p>
        </w:tc>
        <w:tc>
          <w:tcPr/>
          <w:p>
            <w:pPr>
              <w:pStyle w:val="Compact"/>
              <w:jc w:val="right"/>
            </w:pPr>
            <w:r>
              <w:t xml:space="preserve">15.44</w:t>
            </w:r>
          </w:p>
        </w:tc>
        <w:tc>
          <w:tcPr/>
          <w:p>
            <w:pPr>
              <w:pStyle w:val="Compact"/>
              <w:jc w:val="right"/>
            </w:pPr>
            <w:r>
              <w:t xml:space="preserve">0.65</w:t>
            </w:r>
          </w:p>
        </w:tc>
      </w:tr>
      <w:tr>
        <w:tc>
          <w:tcPr/>
          <w:p>
            <w:pPr>
              <w:pStyle w:val="Compact"/>
              <w:jc w:val="left"/>
            </w:pPr>
            <w:r>
              <w:t xml:space="preserve">Tengah</w:t>
            </w:r>
          </w:p>
        </w:tc>
        <w:tc>
          <w:tcPr/>
          <w:p>
            <w:pPr>
              <w:pStyle w:val="Compact"/>
              <w:jc w:val="right"/>
            </w:pPr>
            <w:r>
              <w:t xml:space="preserve">44.5</w:t>
            </w:r>
          </w:p>
        </w:tc>
        <w:tc>
          <w:tcPr/>
          <w:p>
            <w:pPr>
              <w:pStyle w:val="Compact"/>
              <w:jc w:val="right"/>
            </w:pPr>
            <w:r>
              <w:t xml:space="preserve">7.81</w:t>
            </w:r>
          </w:p>
        </w:tc>
        <w:tc>
          <w:tcPr/>
          <w:p>
            <w:pPr>
              <w:pStyle w:val="Compact"/>
              <w:jc w:val="right"/>
            </w:pPr>
            <w:r>
              <w:t xml:space="preserve">2.39</w:t>
            </w:r>
          </w:p>
        </w:tc>
      </w:tr>
      <w:tr>
        <w:tc>
          <w:tcPr/>
          <w:p>
            <w:pPr>
              <w:pStyle w:val="Compact"/>
              <w:jc w:val="left"/>
            </w:pPr>
            <w:r>
              <w:t xml:space="preserve">Toa Payoh</w:t>
            </w:r>
          </w:p>
        </w:tc>
        <w:tc>
          <w:tcPr/>
          <w:p>
            <w:pPr>
              <w:pStyle w:val="Compact"/>
              <w:jc w:val="right"/>
            </w:pPr>
            <w:r>
              <w:t xml:space="preserve">44.5</w:t>
            </w:r>
          </w:p>
        </w:tc>
        <w:tc>
          <w:tcPr/>
          <w:p>
            <w:pPr>
              <w:pStyle w:val="Compact"/>
              <w:jc w:val="right"/>
            </w:pPr>
            <w:r>
              <w:t xml:space="preserve">21.02</w:t>
            </w:r>
          </w:p>
        </w:tc>
        <w:tc>
          <w:tcPr/>
          <w:p>
            <w:pPr>
              <w:pStyle w:val="Compact"/>
              <w:jc w:val="right"/>
            </w:pPr>
            <w:r>
              <w:t xml:space="preserve">0.54</w:t>
            </w:r>
          </w:p>
        </w:tc>
      </w:tr>
      <w:tr>
        <w:tc>
          <w:tcPr/>
          <w:p>
            <w:pPr>
              <w:pStyle w:val="Compact"/>
              <w:jc w:val="left"/>
            </w:pPr>
            <w:r>
              <w:t xml:space="preserve">Tuas</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Western Islands</w:t>
            </w:r>
          </w:p>
        </w:tc>
        <w:tc>
          <w:tcPr/>
          <w:p>
            <w:pPr>
              <w:pStyle w:val="Compact"/>
              <w:jc w:val="right"/>
            </w:pPr>
            <w:r>
              <w:t xml:space="preserve">44.5</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Western Water Catchment</w:t>
            </w:r>
          </w:p>
        </w:tc>
        <w:tc>
          <w:tcPr/>
          <w:p>
            <w:pPr>
              <w:pStyle w:val="Compact"/>
              <w:jc w:val="right"/>
            </w:pPr>
            <w:r>
              <w:t xml:space="preserve">44.5</w:t>
            </w:r>
          </w:p>
        </w:tc>
        <w:tc>
          <w:tcPr/>
          <w:p>
            <w:pPr>
              <w:pStyle w:val="Compact"/>
              <w:jc w:val="right"/>
            </w:pPr>
            <w:r>
              <w:t xml:space="preserve">1.69</w:t>
            </w:r>
          </w:p>
        </w:tc>
        <w:tc>
          <w:tcPr/>
          <w:p>
            <w:pPr>
              <w:pStyle w:val="Compact"/>
              <w:jc w:val="right"/>
            </w:pPr>
            <w:r>
              <w:t xml:space="preserve">1.73</w:t>
            </w:r>
          </w:p>
        </w:tc>
      </w:tr>
      <w:tr>
        <w:tc>
          <w:tcPr/>
          <w:p>
            <w:pPr>
              <w:pStyle w:val="Compact"/>
              <w:jc w:val="left"/>
            </w:pPr>
            <w:r>
              <w:t xml:space="preserve">Woodlands</w:t>
            </w:r>
          </w:p>
        </w:tc>
        <w:tc>
          <w:tcPr/>
          <w:p>
            <w:pPr>
              <w:pStyle w:val="Compact"/>
              <w:jc w:val="right"/>
            </w:pPr>
            <w:r>
              <w:t xml:space="preserve">44.5</w:t>
            </w:r>
          </w:p>
        </w:tc>
        <w:tc>
          <w:tcPr/>
          <w:p>
            <w:pPr>
              <w:pStyle w:val="Compact"/>
              <w:jc w:val="right"/>
            </w:pPr>
            <w:r>
              <w:t xml:space="preserve">12.84</w:t>
            </w:r>
          </w:p>
        </w:tc>
        <w:tc>
          <w:tcPr/>
          <w:p>
            <w:pPr>
              <w:pStyle w:val="Compact"/>
              <w:jc w:val="right"/>
            </w:pPr>
            <w:r>
              <w:t xml:space="preserve">1.12</w:t>
            </w:r>
          </w:p>
        </w:tc>
      </w:tr>
      <w:tr>
        <w:tc>
          <w:tcPr/>
          <w:p>
            <w:pPr>
              <w:pStyle w:val="Compact"/>
              <w:jc w:val="left"/>
            </w:pPr>
            <w:r>
              <w:t xml:space="preserve">Yishun</w:t>
            </w:r>
          </w:p>
        </w:tc>
        <w:tc>
          <w:tcPr/>
          <w:p>
            <w:pPr>
              <w:pStyle w:val="Compact"/>
              <w:jc w:val="right"/>
            </w:pPr>
            <w:r>
              <w:t xml:space="preserve">44.5</w:t>
            </w:r>
          </w:p>
        </w:tc>
        <w:tc>
          <w:tcPr/>
          <w:p>
            <w:pPr>
              <w:pStyle w:val="Compact"/>
              <w:jc w:val="right"/>
            </w:pPr>
            <w:r>
              <w:t xml:space="preserve">16.01</w:t>
            </w:r>
          </w:p>
        </w:tc>
        <w:tc>
          <w:tcPr/>
          <w:p>
            <w:pPr>
              <w:pStyle w:val="Compact"/>
              <w:jc w:val="right"/>
            </w:pPr>
            <w:r>
              <w:t xml:space="preserve">0.97</w:t>
            </w:r>
          </w:p>
        </w:tc>
      </w:tr>
    </w:tbl>
    <w:p>
      <w:pPr>
        <w:pStyle w:val="BodyText"/>
      </w:pPr>
      <w:r>
        <w:rPr>
          <w:bCs/>
          <w:b/>
        </w:rPr>
        <w:t xml:space="preserve">Interpretation:</w:t>
      </w:r>
      <w:r>
        <w:br/>
      </w:r>
      <w:r>
        <w:t xml:space="preserve">This table shows: -</w:t>
      </w:r>
      <w:r>
        <w:t xml:space="preserve"> </w:t>
      </w:r>
      <w:r>
        <w:rPr>
          <w:bCs/>
          <w:b/>
        </w:rPr>
        <w:t xml:space="preserve">Median Age</w:t>
      </w:r>
      <w:r>
        <w:t xml:space="preserve">: Areas like Bedok and Ang Mo Kio have older populations. -</w:t>
      </w:r>
      <w:r>
        <w:t xml:space="preserve"> </w:t>
      </w:r>
      <w:r>
        <w:rPr>
          <w:bCs/>
          <w:b/>
        </w:rPr>
        <w:t xml:space="preserve">Elderly %</w:t>
      </w:r>
      <w:r>
        <w:t xml:space="preserve">: Downtown and Bukit Merah have over 20% elderly. -</w:t>
      </w:r>
      <w:r>
        <w:t xml:space="preserve"> </w:t>
      </w:r>
      <w:r>
        <w:rPr>
          <w:bCs/>
          <w:b/>
        </w:rPr>
        <w:t xml:space="preserve">CV (Spread)</w:t>
      </w:r>
      <w:r>
        <w:t xml:space="preserve">: Population in some PAs is unevenly distributed across subzones, indicating potential resource imbalances.</w:t>
      </w:r>
    </w:p>
    <w:bookmarkStart w:id="52" w:name="key-observations"/>
    <w:p>
      <w:pPr>
        <w:pStyle w:val="Heading3"/>
      </w:pPr>
      <w:r>
        <w:t xml:space="preserve">Key Observations:</w:t>
      </w:r>
    </w:p>
    <w:p>
      <w:pPr>
        <w:numPr>
          <w:ilvl w:val="0"/>
          <w:numId w:val="1001"/>
        </w:numPr>
      </w:pPr>
      <w:r>
        <w:rPr>
          <w:bCs/>
          <w:b/>
        </w:rPr>
        <w:t xml:space="preserve">Eastern and Northern population hotspots:</w:t>
      </w:r>
      <w:r>
        <w:br/>
      </w:r>
      <w:r>
        <w:t xml:space="preserve">Planning areas like</w:t>
      </w:r>
      <w:r>
        <w:t xml:space="preserve"> </w:t>
      </w:r>
      <w:r>
        <w:rPr>
          <w:bCs/>
          <w:b/>
        </w:rPr>
        <w:t xml:space="preserve">Tampines</w:t>
      </w:r>
      <w:r>
        <w:t xml:space="preserve">,</w:t>
      </w:r>
      <w:r>
        <w:t xml:space="preserve"> </w:t>
      </w:r>
      <w:r>
        <w:rPr>
          <w:bCs/>
          <w:b/>
        </w:rPr>
        <w:t xml:space="preserve">Bedok</w:t>
      </w:r>
      <w:r>
        <w:t xml:space="preserve">, and</w:t>
      </w:r>
      <w:r>
        <w:t xml:space="preserve"> </w:t>
      </w:r>
      <w:r>
        <w:rPr>
          <w:bCs/>
          <w:b/>
        </w:rPr>
        <w:t xml:space="preserve">Sengkang</w:t>
      </w:r>
      <w:r>
        <w:t xml:space="preserve"> </w:t>
      </w:r>
      <w:r>
        <w:t xml:space="preserve">show the highest residential concentrations.</w:t>
      </w:r>
    </w:p>
    <w:p>
      <w:pPr>
        <w:numPr>
          <w:ilvl w:val="0"/>
          <w:numId w:val="1001"/>
        </w:numPr>
      </w:pPr>
      <w:r>
        <w:rPr>
          <w:bCs/>
          <w:b/>
        </w:rPr>
        <w:t xml:space="preserve">Lower density in central/southern regions:</w:t>
      </w:r>
      <w:r>
        <w:br/>
      </w:r>
      <w:r>
        <w:rPr>
          <w:bCs/>
          <w:b/>
        </w:rPr>
        <w:t xml:space="preserve">Marina South</w:t>
      </w:r>
      <w:r>
        <w:t xml:space="preserve">,</w:t>
      </w:r>
      <w:r>
        <w:t xml:space="preserve"> </w:t>
      </w:r>
      <w:r>
        <w:rPr>
          <w:bCs/>
          <w:b/>
        </w:rPr>
        <w:t xml:space="preserve">Central Water Catchment</w:t>
      </w:r>
      <w:r>
        <w:t xml:space="preserve">, and</w:t>
      </w:r>
      <w:r>
        <w:t xml:space="preserve"> </w:t>
      </w:r>
      <w:r>
        <w:rPr>
          <w:bCs/>
          <w:b/>
        </w:rPr>
        <w:t xml:space="preserve">Downtown Core</w:t>
      </w:r>
      <w:r>
        <w:t xml:space="preserve"> </w:t>
      </w:r>
      <w:r>
        <w:t xml:space="preserve">show low population due to commercial zoning or conservation land use.</w:t>
      </w:r>
    </w:p>
    <w:p>
      <w:pPr>
        <w:numPr>
          <w:ilvl w:val="0"/>
          <w:numId w:val="1001"/>
        </w:numPr>
      </w:pPr>
      <w:r>
        <w:rPr>
          <w:bCs/>
          <w:b/>
        </w:rPr>
        <w:t xml:space="preserve">Suburban growth in the West and North-West:</w:t>
      </w:r>
      <w:r>
        <w:br/>
      </w:r>
      <w:r>
        <w:t xml:space="preserve">Areas like</w:t>
      </w:r>
      <w:r>
        <w:t xml:space="preserve"> </w:t>
      </w:r>
      <w:r>
        <w:rPr>
          <w:bCs/>
          <w:b/>
        </w:rPr>
        <w:t xml:space="preserve">Jurong West</w:t>
      </w:r>
      <w:r>
        <w:t xml:space="preserve"> </w:t>
      </w:r>
      <w:r>
        <w:t xml:space="preserve">and</w:t>
      </w:r>
      <w:r>
        <w:t xml:space="preserve"> </w:t>
      </w:r>
      <w:r>
        <w:rPr>
          <w:bCs/>
          <w:b/>
        </w:rPr>
        <w:t xml:space="preserve">Woodlands</w:t>
      </w:r>
      <w:r>
        <w:t xml:space="preserve"> </w:t>
      </w:r>
      <w:r>
        <w:t xml:space="preserve">reflect continued public housing expansion and decentralised urban planning.</w:t>
      </w:r>
    </w:p>
    <w:p>
      <w:pPr>
        <w:numPr>
          <w:ilvl w:val="0"/>
          <w:numId w:val="1001"/>
        </w:numPr>
      </w:pPr>
      <w:r>
        <w:rPr>
          <w:bCs/>
          <w:b/>
        </w:rPr>
        <w:t xml:space="preserve">Strategic implications:</w:t>
      </w:r>
      <w:r>
        <w:br/>
      </w:r>
      <w:r>
        <w:t xml:space="preserve">Infrastructure, healthcare, and education planning should prioritise high-density residential zones. Meanwhile, low-population regions align with Singapore’s mixed-use and green space strategies.</w:t>
      </w:r>
    </w:p>
    <w:p>
      <w:pPr>
        <w:numPr>
          <w:ilvl w:val="0"/>
          <w:numId w:val="1001"/>
        </w:numPr>
      </w:pPr>
      <w:r>
        <w:rPr>
          <w:bCs/>
          <w:b/>
        </w:rPr>
        <w:t xml:space="preserve">Uneven population distribution:</w:t>
      </w:r>
      <w:r>
        <w:br/>
      </w:r>
      <w:r>
        <w:t xml:space="preserve">The map highlights strong clustering of residential population, aligned with intentional zoning and national development policy.</w:t>
      </w:r>
    </w:p>
    <w:bookmarkEnd w:id="52"/>
    <w:bookmarkEnd w:id="53"/>
    <w:bookmarkStart w:id="54" w:name="references"/>
    <w:p>
      <w:pPr>
        <w:pStyle w:val="Heading1"/>
      </w:pPr>
      <w:r>
        <w:t xml:space="preserve">6. References</w:t>
      </w:r>
    </w:p>
    <w:p>
      <w:pPr>
        <w:numPr>
          <w:ilvl w:val="0"/>
          <w:numId w:val="1002"/>
        </w:numPr>
        <w:pStyle w:val="Compact"/>
      </w:pPr>
      <w:r>
        <w:t xml:space="preserve">Department of Statistics Singapore, 2024 dataset</w:t>
      </w:r>
    </w:p>
    <w:p>
      <w:pPr>
        <w:numPr>
          <w:ilvl w:val="0"/>
          <w:numId w:val="1002"/>
        </w:numPr>
        <w:pStyle w:val="Compact"/>
      </w:pPr>
      <w:r>
        <w:t xml:space="preserve">Kam, T.S. (2023).</w:t>
      </w:r>
      <w:r>
        <w:t xml:space="preserve"> </w:t>
      </w:r>
      <w:r>
        <w:rPr>
          <w:iCs/>
          <w:i/>
        </w:rPr>
        <w:t xml:space="preserve">R for Visual Analytics</w:t>
      </w:r>
    </w:p>
    <w:p>
      <w:pPr>
        <w:numPr>
          <w:ilvl w:val="0"/>
          <w:numId w:val="1002"/>
        </w:numPr>
        <w:pStyle w:val="Compact"/>
      </w:pPr>
      <w:r>
        <w:t xml:space="preserve">Wong, K. (2020).</w:t>
      </w:r>
      <w:r>
        <w:t xml:space="preserve"> </w:t>
      </w:r>
      <w:r>
        <w:rPr>
          <w:iCs/>
          <w:i/>
        </w:rPr>
        <w:t xml:space="preserve">Visual Analytics Course Notes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Exploring Singapore Demographics (2024)</dc:title>
  <dc:creator>Zhang Xuerong</dc:creator>
  <cp:keywords/>
  <dcterms:created xsi:type="dcterms:W3CDTF">2025-05-26T21:50:23Z</dcterms:created>
  <dcterms:modified xsi:type="dcterms:W3CDTF">2025-05-26T21:50:23Z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output-dir">
    <vt:lpwstr>_site</vt:lpwstr>
  </property>
  <property fmtid="{D5CDD505-2E9C-101B-9397-08002B2CF9AE}" pid="11" name="toc-title">
    <vt:lpwstr>Table of contents</vt:lpwstr>
  </property>
</Properties>
</file>