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803" w:rsidRPr="00A379D6" w:rsidRDefault="005D0803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潮流计算的定义</w:t>
      </w:r>
      <w:r w:rsidR="00866705" w:rsidRPr="00A379D6">
        <w:rPr>
          <w:rFonts w:ascii="宋体" w:eastAsia="宋体" w:hAnsi="宋体" w:hint="eastAsia"/>
          <w:sz w:val="21"/>
        </w:rPr>
        <w:t>、作用和基本算法的比较；移相器对节点导纳矩阵的影响；快速解耦法基本型、BX、XB型比较。</w:t>
      </w:r>
    </w:p>
    <w:p w:rsidR="00A9333B" w:rsidRPr="00A379D6" w:rsidRDefault="008715DE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因子表的作用，给出不同分解方式的因子矩阵元素能写出相应因子表；高斯消元与消去节点的关系</w:t>
      </w:r>
      <w:r w:rsidR="00AC57D9" w:rsidRPr="00A379D6">
        <w:rPr>
          <w:rFonts w:ascii="宋体" w:eastAsia="宋体" w:hAnsi="宋体" w:hint="eastAsia"/>
          <w:sz w:val="21"/>
        </w:rPr>
        <w:t>；掌握三种节点优化编号方法。</w:t>
      </w:r>
    </w:p>
    <w:p w:rsidR="00AC57D9" w:rsidRPr="00A379D6" w:rsidRDefault="00AC57D9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稀疏存储的几种主要格式；图上因子分解和前代回代计算；稀疏向量法的因子化路径</w:t>
      </w:r>
      <w:r w:rsidR="00F17A88" w:rsidRPr="00A379D6">
        <w:rPr>
          <w:rFonts w:ascii="宋体" w:eastAsia="宋体" w:hAnsi="宋体" w:hint="eastAsia"/>
          <w:sz w:val="21"/>
        </w:rPr>
        <w:t>、前代运算路径、回代运算路径</w:t>
      </w:r>
      <w:r w:rsidR="0099534D" w:rsidRPr="00A379D6">
        <w:rPr>
          <w:rFonts w:ascii="宋体" w:eastAsia="宋体" w:hAnsi="宋体" w:hint="eastAsia"/>
          <w:sz w:val="21"/>
        </w:rPr>
        <w:t>；</w:t>
      </w:r>
    </w:p>
    <w:p w:rsidR="00BC415B" w:rsidRPr="00A379D6" w:rsidRDefault="00304213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理解</w:t>
      </w:r>
      <w:r w:rsidR="00BC415B" w:rsidRPr="00A379D6">
        <w:rPr>
          <w:rFonts w:ascii="宋体" w:eastAsia="宋体" w:hAnsi="宋体" w:hint="eastAsia"/>
          <w:sz w:val="21"/>
        </w:rPr>
        <w:t>齐次二次代数方程泰勒级数展开公式</w:t>
      </w:r>
      <w:r w:rsidR="00BC415B" w:rsidRPr="00A379D6">
        <w:rPr>
          <w:rFonts w:ascii="宋体" w:eastAsia="宋体" w:hAnsi="宋体"/>
          <w:sz w:val="21"/>
        </w:rPr>
        <w:t>ys</w:t>
      </w:r>
      <w:r w:rsidR="00BC415B" w:rsidRPr="00A379D6">
        <w:rPr>
          <w:rFonts w:ascii="宋体" w:eastAsia="宋体" w:hAnsi="宋体" w:hint="eastAsia"/>
          <w:sz w:val="21"/>
        </w:rPr>
        <w:t>＝</w:t>
      </w:r>
      <w:r w:rsidR="00BC415B" w:rsidRPr="00A379D6">
        <w:rPr>
          <w:rFonts w:ascii="宋体" w:eastAsia="宋体" w:hAnsi="宋体"/>
          <w:sz w:val="21"/>
        </w:rPr>
        <w:t>y(x(0))</w:t>
      </w:r>
      <w:r w:rsidR="00BC415B" w:rsidRPr="00A379D6">
        <w:rPr>
          <w:rFonts w:ascii="宋体" w:eastAsia="宋体" w:hAnsi="宋体" w:hint="eastAsia"/>
          <w:sz w:val="21"/>
        </w:rPr>
        <w:t>＋</w:t>
      </w:r>
      <w:r w:rsidR="00BC415B" w:rsidRPr="00A379D6">
        <w:rPr>
          <w:rFonts w:ascii="宋体" w:eastAsia="宋体" w:hAnsi="宋体"/>
          <w:sz w:val="21"/>
        </w:rPr>
        <w:t>J</w:t>
      </w:r>
      <w:r w:rsidR="00BC415B" w:rsidRPr="00A379D6">
        <w:rPr>
          <w:rFonts w:ascii="MS Mincho" w:eastAsia="MS Mincho" w:hAnsi="MS Mincho" w:cs="MS Mincho" w:hint="eastAsia"/>
          <w:sz w:val="21"/>
        </w:rPr>
        <w:t>∆</w:t>
      </w:r>
      <w:r w:rsidR="00BC415B" w:rsidRPr="00A379D6">
        <w:rPr>
          <w:rFonts w:ascii="宋体" w:eastAsia="宋体" w:hAnsi="宋体"/>
          <w:sz w:val="21"/>
        </w:rPr>
        <w:t>x</w:t>
      </w:r>
      <w:r w:rsidR="00BC415B" w:rsidRPr="00A379D6">
        <w:rPr>
          <w:rFonts w:ascii="宋体" w:eastAsia="宋体" w:hAnsi="宋体" w:hint="eastAsia"/>
          <w:sz w:val="21"/>
        </w:rPr>
        <w:t>＋</w:t>
      </w:r>
      <w:r w:rsidR="00BC415B" w:rsidRPr="00A379D6">
        <w:rPr>
          <w:rFonts w:ascii="宋体" w:eastAsia="宋体" w:hAnsi="宋体"/>
          <w:sz w:val="21"/>
        </w:rPr>
        <w:t>y(</w:t>
      </w:r>
      <w:r w:rsidR="00BC415B" w:rsidRPr="00A379D6">
        <w:rPr>
          <w:rFonts w:ascii="MS Mincho" w:eastAsia="MS Mincho" w:hAnsi="MS Mincho" w:cs="MS Mincho" w:hint="eastAsia"/>
          <w:sz w:val="21"/>
        </w:rPr>
        <w:t>∆</w:t>
      </w:r>
      <w:r w:rsidR="00BC415B" w:rsidRPr="00A379D6">
        <w:rPr>
          <w:rFonts w:ascii="宋体" w:eastAsia="宋体" w:hAnsi="宋体"/>
          <w:sz w:val="21"/>
        </w:rPr>
        <w:t>x)</w:t>
      </w:r>
      <w:r w:rsidR="00BC415B" w:rsidRPr="00A379D6">
        <w:rPr>
          <w:rFonts w:ascii="宋体" w:eastAsia="宋体" w:hAnsi="宋体" w:hint="eastAsia"/>
          <w:sz w:val="21"/>
        </w:rPr>
        <w:t>；</w:t>
      </w:r>
      <w:r w:rsidR="00FF7846" w:rsidRPr="00A379D6">
        <w:rPr>
          <w:rFonts w:ascii="宋体" w:eastAsia="宋体" w:hAnsi="宋体" w:hint="eastAsia"/>
          <w:sz w:val="21"/>
        </w:rPr>
        <w:t>掌握</w:t>
      </w:r>
      <w:r w:rsidRPr="00A379D6">
        <w:rPr>
          <w:rFonts w:ascii="宋体" w:eastAsia="宋体" w:hAnsi="宋体" w:hint="eastAsia"/>
          <w:sz w:val="21"/>
        </w:rPr>
        <w:t>保留</w:t>
      </w:r>
      <w:r w:rsidR="0099534D" w:rsidRPr="00A379D6">
        <w:rPr>
          <w:rFonts w:ascii="宋体" w:eastAsia="宋体" w:hAnsi="宋体" w:hint="eastAsia"/>
          <w:sz w:val="21"/>
        </w:rPr>
        <w:t>非线性潮流和牛顿法潮流算法迭代公式的差别；定雅可比牛顿法与保留非线性潮流的联系；掌握保留非线性潮流算法的特点；</w:t>
      </w:r>
    </w:p>
    <w:p w:rsidR="002637C5" w:rsidRPr="00A379D6" w:rsidRDefault="005C59D2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最小化潮流算法与常规</w:t>
      </w:r>
      <w:bookmarkStart w:id="0" w:name="_GoBack"/>
      <w:bookmarkEnd w:id="0"/>
      <w:r w:rsidRPr="00A379D6">
        <w:rPr>
          <w:rFonts w:ascii="宋体" w:eastAsia="宋体" w:hAnsi="宋体" w:hint="eastAsia"/>
          <w:sz w:val="21"/>
        </w:rPr>
        <w:t>潮流的区别，常用的目标函数形式，搜索方向和最优步长因子确定方法；</w:t>
      </w:r>
    </w:p>
    <w:p w:rsidR="00240D87" w:rsidRPr="00A379D6" w:rsidRDefault="004F1D93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PV节点的无功功率越界和PQ节点的电压越界的处理方法；带负荷调压变压器抽头的调整方法；互联系统区域间交换功率的控制</w:t>
      </w:r>
      <w:r w:rsidR="00705185" w:rsidRPr="00A379D6">
        <w:rPr>
          <w:rFonts w:ascii="宋体" w:eastAsia="宋体" w:hAnsi="宋体" w:hint="eastAsia"/>
          <w:sz w:val="21"/>
        </w:rPr>
        <w:t>方法；</w:t>
      </w:r>
    </w:p>
    <w:p w:rsidR="002637C5" w:rsidRPr="00A379D6" w:rsidRDefault="001766B2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最优潮流定义，最优潮流与基本潮流的区别；最优潮流常用的目标函数、控制变量、状态变量、约束条件；</w:t>
      </w:r>
      <w:r w:rsidR="0021762A" w:rsidRPr="00A379D6">
        <w:rPr>
          <w:rFonts w:ascii="宋体" w:eastAsia="宋体" w:hAnsi="宋体" w:hint="eastAsia"/>
          <w:sz w:val="21"/>
        </w:rPr>
        <w:t>简化梯度算法的表征形式和基本求解过程；</w:t>
      </w:r>
    </w:p>
    <w:p w:rsidR="00705185" w:rsidRPr="00A379D6" w:rsidRDefault="003F43CA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直流潮流计算方法；</w:t>
      </w:r>
    </w:p>
    <w:p w:rsidR="003F43CA" w:rsidRPr="00A379D6" w:rsidRDefault="00164979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状态估计定义、作用，状态估计与潮流计算的区别；</w:t>
      </w:r>
      <w:r w:rsidR="005D599F" w:rsidRPr="00A379D6">
        <w:rPr>
          <w:rFonts w:ascii="宋体" w:eastAsia="宋体" w:hAnsi="宋体" w:hint="eastAsia"/>
          <w:sz w:val="21"/>
        </w:rPr>
        <w:t>网络可观测性、关键量测</w:t>
      </w:r>
      <w:r w:rsidR="00687B3F" w:rsidRPr="00A379D6">
        <w:rPr>
          <w:rFonts w:ascii="宋体" w:eastAsia="宋体" w:hAnsi="宋体" w:hint="eastAsia"/>
          <w:sz w:val="21"/>
        </w:rPr>
        <w:t>，关键量测或关键量测组的存在对数据的可检测与可辨识性的影响；</w:t>
      </w:r>
      <w:r w:rsidR="00245DE3" w:rsidRPr="00A379D6">
        <w:rPr>
          <w:rFonts w:ascii="宋体" w:eastAsia="宋体" w:hAnsi="宋体" w:hint="eastAsia"/>
          <w:sz w:val="21"/>
        </w:rPr>
        <w:t>测量值布置对H阵和A阵非零元位置的影响；不良数据检测和不良数据辨识的作用；估计误差、残差、误差的差别；</w:t>
      </w:r>
    </w:p>
    <w:p w:rsidR="005D0803" w:rsidRPr="00A379D6" w:rsidRDefault="005D0803" w:rsidP="00A379D6">
      <w:pPr>
        <w:pStyle w:val="a6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/>
          <w:sz w:val="21"/>
        </w:rPr>
      </w:pPr>
      <w:r w:rsidRPr="00A379D6">
        <w:rPr>
          <w:rFonts w:ascii="宋体" w:eastAsia="宋体" w:hAnsi="宋体" w:hint="eastAsia"/>
          <w:sz w:val="21"/>
        </w:rPr>
        <w:t>系统</w:t>
      </w:r>
      <w:r w:rsidR="004306A2" w:rsidRPr="00A379D6">
        <w:rPr>
          <w:rFonts w:ascii="宋体" w:eastAsia="宋体" w:hAnsi="宋体" w:hint="eastAsia"/>
          <w:sz w:val="21"/>
        </w:rPr>
        <w:t>安全的</w:t>
      </w:r>
      <w:r w:rsidRPr="00A379D6">
        <w:rPr>
          <w:rFonts w:ascii="宋体" w:eastAsia="宋体" w:hAnsi="宋体" w:hint="eastAsia"/>
          <w:sz w:val="21"/>
        </w:rPr>
        <w:t>定义；</w:t>
      </w:r>
      <w:r w:rsidR="004306A2" w:rsidRPr="00A379D6">
        <w:rPr>
          <w:rFonts w:ascii="宋体" w:eastAsia="宋体" w:hAnsi="宋体" w:hint="eastAsia"/>
          <w:sz w:val="21"/>
        </w:rPr>
        <w:t>电力系统运行条件四种状态和状态转换的控制措施；Ward等值和REI等值的定义、特点、改进措施和基本计算；支路开断模拟基本方法的比较，基于直流潮流的支路开断模拟计算和补偿法支路开断原理；发电机开断时母线的净有功功率变化量计算；预想事故预想的作用、行为指标和俘获率指标。</w:t>
      </w:r>
    </w:p>
    <w:p w:rsidR="0021762A" w:rsidRPr="00A379D6" w:rsidRDefault="0021762A" w:rsidP="00A379D6">
      <w:pPr>
        <w:spacing w:line="480" w:lineRule="auto"/>
        <w:rPr>
          <w:rFonts w:ascii="宋体" w:eastAsia="宋体" w:hAnsi="宋体"/>
          <w:sz w:val="21"/>
        </w:rPr>
      </w:pPr>
    </w:p>
    <w:p w:rsidR="00705185" w:rsidRPr="00A379D6" w:rsidRDefault="00705185" w:rsidP="00A379D6">
      <w:pPr>
        <w:spacing w:line="480" w:lineRule="auto"/>
        <w:rPr>
          <w:rFonts w:ascii="宋体" w:eastAsia="宋体" w:hAnsi="宋体"/>
          <w:sz w:val="21"/>
        </w:rPr>
      </w:pPr>
    </w:p>
    <w:p w:rsidR="00705185" w:rsidRPr="00A379D6" w:rsidRDefault="00705185" w:rsidP="00A379D6">
      <w:pPr>
        <w:spacing w:line="480" w:lineRule="auto"/>
        <w:rPr>
          <w:rFonts w:ascii="宋体" w:eastAsia="宋体" w:hAnsi="宋体"/>
          <w:sz w:val="21"/>
        </w:rPr>
      </w:pPr>
    </w:p>
    <w:p w:rsidR="00BC415B" w:rsidRPr="00A379D6" w:rsidRDefault="00BC415B" w:rsidP="00A379D6">
      <w:pPr>
        <w:spacing w:line="480" w:lineRule="auto"/>
        <w:rPr>
          <w:rFonts w:ascii="宋体" w:eastAsia="宋体" w:hAnsi="宋体"/>
          <w:sz w:val="21"/>
        </w:rPr>
      </w:pPr>
    </w:p>
    <w:p w:rsidR="00AC57D9" w:rsidRPr="00A379D6" w:rsidRDefault="00AC57D9" w:rsidP="00A379D6">
      <w:pPr>
        <w:spacing w:line="480" w:lineRule="auto"/>
        <w:rPr>
          <w:rFonts w:ascii="宋体" w:eastAsia="宋体" w:hAnsi="宋体"/>
          <w:sz w:val="21"/>
        </w:rPr>
      </w:pPr>
    </w:p>
    <w:sectPr w:rsidR="00AC57D9" w:rsidRPr="00A379D6" w:rsidSect="00A93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C54" w:rsidRDefault="00350C54" w:rsidP="002637C5">
      <w:r>
        <w:separator/>
      </w:r>
    </w:p>
  </w:endnote>
  <w:endnote w:type="continuationSeparator" w:id="0">
    <w:p w:rsidR="00350C54" w:rsidRDefault="00350C54" w:rsidP="0026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C54" w:rsidRDefault="00350C54" w:rsidP="002637C5">
      <w:r>
        <w:separator/>
      </w:r>
    </w:p>
  </w:footnote>
  <w:footnote w:type="continuationSeparator" w:id="0">
    <w:p w:rsidR="00350C54" w:rsidRDefault="00350C54" w:rsidP="002637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641CE"/>
    <w:multiLevelType w:val="hybridMultilevel"/>
    <w:tmpl w:val="5D7E2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15DE"/>
    <w:rsid w:val="00022B05"/>
    <w:rsid w:val="00164979"/>
    <w:rsid w:val="001766B2"/>
    <w:rsid w:val="0021762A"/>
    <w:rsid w:val="00240D87"/>
    <w:rsid w:val="00245DE3"/>
    <w:rsid w:val="002637C5"/>
    <w:rsid w:val="00304213"/>
    <w:rsid w:val="00350C54"/>
    <w:rsid w:val="003F43CA"/>
    <w:rsid w:val="004306A2"/>
    <w:rsid w:val="004F1D93"/>
    <w:rsid w:val="005C59D2"/>
    <w:rsid w:val="005D0803"/>
    <w:rsid w:val="005D599F"/>
    <w:rsid w:val="00687B3F"/>
    <w:rsid w:val="00705185"/>
    <w:rsid w:val="00866705"/>
    <w:rsid w:val="008715DE"/>
    <w:rsid w:val="0099534D"/>
    <w:rsid w:val="00A379D6"/>
    <w:rsid w:val="00A9333B"/>
    <w:rsid w:val="00AC57D9"/>
    <w:rsid w:val="00BC415B"/>
    <w:rsid w:val="00DC1343"/>
    <w:rsid w:val="00EF2A2A"/>
    <w:rsid w:val="00F17A88"/>
    <w:rsid w:val="00FF78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1F0EFC3-CC6B-454C-905C-90F4EF211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2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7D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263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37C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37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37C5"/>
    <w:rPr>
      <w:sz w:val="18"/>
      <w:szCs w:val="18"/>
    </w:rPr>
  </w:style>
  <w:style w:type="paragraph" w:styleId="a6">
    <w:name w:val="List Paragraph"/>
    <w:basedOn w:val="a"/>
    <w:uiPriority w:val="34"/>
    <w:qFormat/>
    <w:rsid w:val="00A379D6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379D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379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 高 </dc:creator>
  <cp:keywords/>
  <dc:description/>
  <cp:lastModifiedBy>BMEXB</cp:lastModifiedBy>
  <cp:revision>19</cp:revision>
  <cp:lastPrinted>2016-01-20T08:25:00Z</cp:lastPrinted>
  <dcterms:created xsi:type="dcterms:W3CDTF">2012-01-04T08:11:00Z</dcterms:created>
  <dcterms:modified xsi:type="dcterms:W3CDTF">2016-01-20T08:25:00Z</dcterms:modified>
</cp:coreProperties>
</file>