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142D46"/>
          <w:sz w:val="48"/>
        </w:rPr>
        <w:t>CRL-CW Research Project Plan</w:t>
      </w:r>
    </w:p>
    <w:p>
      <w:pPr>
        <w:spacing w:after="240"/>
      </w:pPr>
      <w:r>
        <w:rPr>
          <w:rFonts w:ascii="Calibri" w:hAnsi="Calibri"/>
          <w:b w:val="0"/>
          <w:i w:val="0"/>
          <w:color w:val="5A626C"/>
          <w:sz w:val="26"/>
        </w:rPr>
        <w:t>Continual reinforcement learning with reusable policy guidance in Meta-World</w:t>
      </w:r>
    </w:p>
    <w:p>
      <w:pPr>
        <w:spacing w:after="40"/>
      </w:pPr>
      <w:r>
        <w:rPr>
          <w:rFonts w:ascii="Calibri" w:hAnsi="Calibri"/>
          <w:b/>
          <w:i w:val="0"/>
          <w:color w:val="1F4D78"/>
          <w:sz w:val="22"/>
        </w:rPr>
        <w:t xml:space="preserve">Project: </w:t>
      </w:r>
      <w:r>
        <w:rPr>
          <w:rFonts w:ascii="Calibri" w:hAnsi="Calibri"/>
          <w:b w:val="0"/>
          <w:i w:val="0"/>
          <w:sz w:val="22"/>
        </w:rPr>
        <w:t>crl_cw</w:t>
      </w:r>
    </w:p>
    <w:p>
      <w:pPr>
        <w:spacing w:after="40"/>
      </w:pPr>
      <w:r>
        <w:rPr>
          <w:rFonts w:ascii="Calibri" w:hAnsi="Calibri"/>
          <w:b/>
          <w:i w:val="0"/>
          <w:color w:val="1F4D78"/>
          <w:sz w:val="22"/>
        </w:rPr>
        <w:t xml:space="preserve">Benchmark: </w:t>
      </w:r>
      <w:r>
        <w:rPr>
          <w:rFonts w:ascii="Calibri" w:hAnsi="Calibri"/>
          <w:b w:val="0"/>
          <w:i w:val="0"/>
          <w:sz w:val="22"/>
        </w:rPr>
        <w:t>Meta-World v3, fixed CW10 task order, full observations</w:t>
      </w:r>
    </w:p>
    <w:p>
      <w:pPr>
        <w:spacing w:after="40"/>
      </w:pPr>
      <w:r>
        <w:rPr>
          <w:rFonts w:ascii="Calibri" w:hAnsi="Calibri"/>
          <w:b/>
          <w:i w:val="0"/>
          <w:color w:val="1F4D78"/>
          <w:sz w:val="22"/>
        </w:rPr>
        <w:t xml:space="preserve">Final method: </w:t>
      </w:r>
      <w:r>
        <w:rPr>
          <w:rFonts w:ascii="Calibri" w:hAnsi="Calibri"/>
          <w:b w:val="0"/>
          <w:i w:val="0"/>
          <w:sz w:val="22"/>
        </w:rPr>
        <w:t>To be determined through staged experiments and ablation studies</w:t>
      </w:r>
    </w:p>
    <w:p>
      <w:pPr>
        <w:spacing w:after="40"/>
      </w:pPr>
      <w:r>
        <w:rPr>
          <w:rFonts w:ascii="Calibri" w:hAnsi="Calibri"/>
          <w:b/>
          <w:i w:val="0"/>
          <w:color w:val="1F4D78"/>
          <w:sz w:val="22"/>
        </w:rPr>
        <w:t xml:space="preserve">Status: </w:t>
      </w:r>
      <w:r>
        <w:rPr>
          <w:rFonts w:ascii="Calibri" w:hAnsi="Calibri"/>
          <w:b w:val="0"/>
          <w:i w:val="0"/>
          <w:sz w:val="22"/>
        </w:rPr>
        <w:t>Implementation and pilot validation</w:t>
      </w:r>
    </w:p>
    <w:p>
      <w:pPr>
        <w:spacing w:after="40"/>
      </w:pPr>
      <w:r>
        <w:rPr>
          <w:rFonts w:ascii="Calibri" w:hAnsi="Calibri"/>
          <w:b/>
          <w:i w:val="0"/>
          <w:color w:val="1F4D78"/>
          <w:sz w:val="22"/>
        </w:rPr>
        <w:t xml:space="preserve">Updated: </w:t>
      </w:r>
      <w:r>
        <w:rPr>
          <w:rFonts w:ascii="Calibri" w:hAnsi="Calibri"/>
          <w:b w:val="0"/>
          <w:i w:val="0"/>
          <w:sz w:val="22"/>
        </w:rPr>
        <w:t>2026-07-23</w:t>
      </w:r>
    </w:p>
    <w:p/>
    <w:p>
      <w:pPr>
        <w:pStyle w:val="Heading1"/>
      </w:pPr>
      <w:r>
        <w:t>1. Research Abstract</w:t>
      </w:r>
    </w:p>
    <w:p>
      <w:pPr>
        <w:spacing w:after="120" w:line="264" w:lineRule="auto"/>
      </w:pPr>
      <w:r>
        <w:rPr>
          <w:rFonts w:ascii="Calibri" w:hAnsi="Calibri"/>
          <w:b w:val="0"/>
          <w:i w:val="0"/>
          <w:sz w:val="22"/>
        </w:rPr>
        <w:t>This project studies continual reinforcement learning (CRL) for sequential robotic manipulation. The central question is whether policies learned on earlier tasks can be reused as temporary guides to improve exploration and forward transfer on a new task, while the current learner ultimately becomes independent and retains performance across the task sequence.</w:t>
      </w:r>
    </w:p>
    <w:p>
      <w:pPr>
        <w:spacing w:after="120" w:line="264" w:lineRule="auto"/>
      </w:pPr>
      <w:r>
        <w:rPr>
          <w:rFonts w:ascii="Calibri" w:hAnsi="Calibri"/>
          <w:b w:val="0"/>
          <w:i w:val="0"/>
          <w:sz w:val="22"/>
        </w:rPr>
        <w:t>The experimental platform uses Meta-World v3 with the fixed CW10 order, full modern observations, Gymnasium and PyTorch SAC. The final method is intentionally not fixed at this stage. The research will first test WSRL-style warm starts and JSRL-style curricula as alternative mechanisms for forward transfer, then test task embeddings—starting with a one-hot task vector—as a mechanism for reducing forgetting. A final method will be selected or composed only after controlled ablation studies establish which components provide reliable and complementary gains.</w:t>
      </w:r>
    </w:p>
    <w:p>
      <w:pPr>
        <w:pStyle w:val="Heading1"/>
      </w:pPr>
      <w:r>
        <w:t>2. Candidate Research Directions</w:t>
      </w:r>
    </w:p>
    <w:p>
      <w:pPr>
        <w:pStyle w:val="Heading2"/>
      </w:pPr>
      <w:r>
        <w:t>2.1 Experimental Development Strategy</w:t>
      </w:r>
    </w:p>
    <w:p>
      <w:pPr>
        <w:pStyle w:val="ListBullet"/>
        <w:spacing w:after="80" w:line="259" w:lineRule="auto"/>
      </w:pPr>
      <w:r>
        <w:rPr>
          <w:rFonts w:ascii="Calibri" w:hAnsi="Calibri"/>
          <w:b w:val="0"/>
          <w:i w:val="0"/>
          <w:sz w:val="22"/>
        </w:rPr>
        <w:t>Stage A — Transfer: test wsrl_continual first, then jsrl_continual, to determine whether prior-policy guidance improves forward transfer.</w:t>
      </w:r>
    </w:p>
    <w:p>
      <w:pPr>
        <w:pStyle w:val="ListBullet"/>
        <w:spacing w:after="80" w:line="259" w:lineRule="auto"/>
      </w:pPr>
      <w:r>
        <w:rPr>
          <w:rFonts w:ascii="Calibri" w:hAnsi="Calibri"/>
          <w:b w:val="0"/>
          <w:i w:val="0"/>
          <w:sz w:val="22"/>
        </w:rPr>
        <w:t>Stage B — Forgetting: test task conditioning with a one-hot vector, then consider richer learned task embeddings if the simple representation is useful.</w:t>
      </w:r>
    </w:p>
    <w:p>
      <w:pPr>
        <w:pStyle w:val="ListBullet"/>
        <w:spacing w:after="80" w:line="259" w:lineRule="auto"/>
      </w:pPr>
      <w:r>
        <w:rPr>
          <w:rFonts w:ascii="Calibri" w:hAnsi="Calibri"/>
          <w:b w:val="0"/>
          <w:i w:val="0"/>
          <w:sz w:val="22"/>
        </w:rPr>
        <w:t>Stage C — Integration: combine only components that show complementary improvements in controlled ablations.</w:t>
      </w:r>
    </w:p>
    <w:p>
      <w:pPr>
        <w:pStyle w:val="ListBullet"/>
        <w:spacing w:after="80" w:line="259" w:lineRule="auto"/>
      </w:pPr>
      <w:r>
        <w:rPr>
          <w:rFonts w:ascii="Calibri" w:hAnsi="Calibri"/>
          <w:b w:val="0"/>
          <w:i w:val="0"/>
          <w:sz w:val="22"/>
        </w:rPr>
        <w:t>Stage D — Final method: define the final architecture, objective and name after evidence from transfer, forgetting and interaction ablations.</w:t>
      </w:r>
    </w:p>
    <w:p>
      <w:pPr>
        <w:pStyle w:val="Heading2"/>
      </w:pPr>
      <w:r>
        <w:t>2.2 Candidate Transfer Mechanisms</w:t>
      </w:r>
    </w:p>
    <w:p>
      <w:pPr>
        <w:spacing w:after="120" w:line="264" w:lineRule="auto"/>
      </w:pPr>
      <w:r>
        <w:rPr>
          <w:rFonts w:ascii="Calibri" w:hAnsi="Calibri"/>
          <w:b/>
          <w:i w:val="0"/>
          <w:sz w:val="22"/>
        </w:rPr>
        <w:t>WSRL continual:</w:t>
      </w:r>
      <w:r>
        <w:rPr>
          <w:rFonts w:ascii="Calibri" w:hAnsi="Calibri"/>
          <w:b w:val="0"/>
          <w:i w:val="0"/>
          <w:sz w:val="22"/>
        </w:rPr>
      </w:r>
    </w:p>
    <w:p>
      <w:pPr>
        <w:pStyle w:val="ListBullet"/>
        <w:spacing w:after="80" w:line="259" w:lineRule="auto"/>
      </w:pPr>
      <w:r>
        <w:rPr>
          <w:rFonts w:ascii="Calibri" w:hAnsi="Calibri"/>
          <w:b w:val="0"/>
          <w:i w:val="0"/>
          <w:sz w:val="22"/>
        </w:rPr>
        <w:t>Use the best prior policy as a fixed warm-up guide for early data collection on a new task.</w:t>
      </w:r>
    </w:p>
    <w:p>
      <w:pPr>
        <w:pStyle w:val="ListBullet"/>
        <w:spacing w:after="80" w:line="259" w:lineRule="auto"/>
      </w:pPr>
      <w:r>
        <w:rPr>
          <w:rFonts w:ascii="Calibri" w:hAnsi="Calibri"/>
          <w:b w:val="0"/>
          <w:i w:val="0"/>
          <w:sz w:val="22"/>
        </w:rPr>
        <w:t>Test current versus best-return parameter sources and reset versus transferred task heads.</w:t>
      </w:r>
    </w:p>
    <w:p>
      <w:pPr>
        <w:pStyle w:val="ListBullet"/>
        <w:spacing w:after="80" w:line="259" w:lineRule="auto"/>
      </w:pPr>
      <w:r>
        <w:rPr>
          <w:rFonts w:ascii="Calibri" w:hAnsi="Calibri"/>
          <w:b w:val="0"/>
          <w:i w:val="0"/>
          <w:sz w:val="22"/>
        </w:rPr>
        <w:t>Use this simpler mechanism as the first test of whether policy reuse improves forward transfer.</w:t>
      </w:r>
    </w:p>
    <w:p>
      <w:pPr>
        <w:spacing w:after="120" w:line="264" w:lineRule="auto"/>
      </w:pPr>
      <w:r>
        <w:rPr>
          <w:rFonts w:ascii="Calibri" w:hAnsi="Calibri"/>
          <w:b/>
          <w:i w:val="0"/>
          <w:sz w:val="22"/>
        </w:rPr>
        <w:t>JSRL continual:</w:t>
      </w:r>
      <w:r>
        <w:rPr>
          <w:rFonts w:ascii="Calibri" w:hAnsi="Calibri"/>
          <w:b w:val="0"/>
          <w:i w:val="0"/>
          <w:sz w:val="22"/>
        </w:rPr>
      </w:r>
    </w:p>
    <w:p>
      <w:pPr>
        <w:pStyle w:val="ListBullet"/>
        <w:spacing w:after="80" w:line="259" w:lineRule="auto"/>
      </w:pPr>
      <w:r>
        <w:rPr>
          <w:rFonts w:ascii="Calibri" w:hAnsi="Calibri"/>
          <w:b w:val="0"/>
          <w:i w:val="0"/>
          <w:sz w:val="22"/>
        </w:rPr>
        <w:t>Architecture: shared actor/critic backbones with task-specific heads; task identity selects the active head but is hidden from the backbone.</w:t>
      </w:r>
    </w:p>
    <w:p>
      <w:pPr>
        <w:pStyle w:val="ListBullet"/>
        <w:spacing w:after="80" w:line="259" w:lineRule="auto"/>
      </w:pPr>
      <w:r>
        <w:rPr>
          <w:rFonts w:ascii="Calibri" w:hAnsi="Calibri"/>
          <w:b w:val="0"/>
          <w:i w:val="0"/>
          <w:sz w:val="22"/>
        </w:rPr>
        <w:t>Policy bank: after each task, store a complete frozen actor snapshot. The bank grows across the sequence; prior snapshots never change.</w:t>
      </w:r>
    </w:p>
    <w:p>
      <w:pPr>
        <w:pStyle w:val="ListBullet"/>
        <w:spacing w:after="80" w:line="259" w:lineRule="auto"/>
      </w:pPr>
      <w:r>
        <w:rPr>
          <w:rFonts w:ascii="Calibri" w:hAnsi="Calibri"/>
          <w:b w:val="0"/>
          <w:i w:val="0"/>
          <w:sz w:val="22"/>
        </w:rPr>
        <w:t>Guide selection: evaluate every prior policy on the current task and choose the policy with the highest mean current-task return.</w:t>
      </w:r>
    </w:p>
    <w:p>
      <w:pPr>
        <w:pStyle w:val="ListBullet"/>
        <w:spacing w:after="80" w:line="259" w:lineRule="auto"/>
      </w:pPr>
      <w:r>
        <w:rPr>
          <w:rFonts w:ascii="Calibri" w:hAnsi="Calibri"/>
          <w:b w:val="0"/>
          <w:i w:val="0"/>
          <w:sz w:val="22"/>
        </w:rPr>
        <w:t>Learner initialization: retain the current shared backbones, activate fresh task heads, reset optimizer state and clear the online replay buffer.</w:t>
      </w:r>
    </w:p>
    <w:p>
      <w:pPr>
        <w:pStyle w:val="ListBullet"/>
        <w:spacing w:after="80" w:line="259" w:lineRule="auto"/>
      </w:pPr>
      <w:r>
        <w:rPr>
          <w:rFonts w:ascii="Calibri" w:hAnsi="Calibri"/>
          <w:b w:val="0"/>
          <w:i w:val="0"/>
          <w:sz w:val="22"/>
        </w:rPr>
        <w:t>Mixed rollout: for each episode, the frozen guide controls the first h steps and the current SAC learner controls the remaining 200-h steps.</w:t>
      </w:r>
    </w:p>
    <w:p>
      <w:pPr>
        <w:pStyle w:val="ListBullet"/>
        <w:spacing w:after="80" w:line="259" w:lineRule="auto"/>
      </w:pPr>
      <w:r>
        <w:rPr>
          <w:rFonts w:ascii="Calibri" w:hAnsi="Calibri"/>
          <w:b w:val="0"/>
          <w:i w:val="0"/>
          <w:sz w:val="22"/>
        </w:rPr>
        <w:t>Curriculum: h follows 180, 160, ..., 0. Mixed-policy return is evaluated every 20k steps using a rolling window of five evaluations.</w:t>
      </w:r>
    </w:p>
    <w:p>
      <w:pPr>
        <w:pStyle w:val="ListBullet"/>
        <w:spacing w:after="80" w:line="259" w:lineRule="auto"/>
      </w:pPr>
      <w:r>
        <w:rPr>
          <w:rFonts w:ascii="Calibri" w:hAnsi="Calibri"/>
          <w:b w:val="0"/>
          <w:i w:val="0"/>
          <w:sz w:val="22"/>
        </w:rPr>
        <w:t>Advancement: reduce h when mixed return reaches the adaptive beta threshold (reference return with 10% tolerance), or after five evaluations without advancement.</w:t>
      </w:r>
    </w:p>
    <w:p>
      <w:pPr>
        <w:pStyle w:val="ListBullet"/>
        <w:spacing w:after="80" w:line="259" w:lineRule="auto"/>
      </w:pPr>
      <w:r>
        <w:rPr>
          <w:rFonts w:ascii="Calibri" w:hAnsi="Calibri"/>
          <w:b w:val="0"/>
          <w:i w:val="0"/>
          <w:sz w:val="22"/>
        </w:rPr>
        <w:t>Autonomy: the patience rule guarantees h reaches 0 by approximately 900k steps in the worst case, leaving at least approximately 100k learner-only steps in a 1M-step task.</w:t>
      </w:r>
    </w:p>
    <w:p>
      <w:pPr>
        <w:pStyle w:val="Heading2"/>
      </w:pPr>
      <w:r>
        <w:t>2.3 Candidate Forgetting Mechanism</w:t>
      </w:r>
    </w:p>
    <w:p>
      <w:pPr>
        <w:pStyle w:val="ListBullet"/>
        <w:spacing w:after="80" w:line="259" w:lineRule="auto"/>
      </w:pPr>
      <w:r>
        <w:rPr>
          <w:rFonts w:ascii="Calibri" w:hAnsi="Calibri"/>
          <w:b w:val="0"/>
          <w:i w:val="0"/>
          <w:sz w:val="22"/>
        </w:rPr>
        <w:t>Start with a single-head task-conditioned SAC agent that receives the full state observation plus a one-hot task vector.</w:t>
      </w:r>
    </w:p>
    <w:p>
      <w:pPr>
        <w:pStyle w:val="ListBullet"/>
        <w:spacing w:after="80" w:line="259" w:lineRule="auto"/>
      </w:pPr>
      <w:r>
        <w:rPr>
          <w:rFonts w:ascii="Calibri" w:hAnsi="Calibri"/>
          <w:b w:val="0"/>
          <w:i w:val="0"/>
          <w:sz w:val="22"/>
        </w:rPr>
        <w:t>Measure whether explicit task identity improves representation separation and reduces forgetting relative to fine-tuning.</w:t>
      </w:r>
    </w:p>
    <w:p>
      <w:pPr>
        <w:pStyle w:val="ListBullet"/>
        <w:spacing w:after="80" w:line="259" w:lineRule="auto"/>
      </w:pPr>
      <w:r>
        <w:rPr>
          <w:rFonts w:ascii="Calibri" w:hAnsi="Calibri"/>
          <w:b w:val="0"/>
          <w:i w:val="0"/>
          <w:sz w:val="22"/>
        </w:rPr>
        <w:t>If useful, replace or augment one-hot identity with a learned task embedding or task-inference module in later ablations.</w:t>
      </w:r>
    </w:p>
    <w:p>
      <w:pPr>
        <w:pStyle w:val="Heading2"/>
      </w:pPr>
      <w:r>
        <w:t>2.4 Intended Evaluation Semantics</w:t>
      </w:r>
    </w:p>
    <w:p>
      <w:pPr>
        <w:pStyle w:val="ListBullet"/>
        <w:spacing w:after="80" w:line="259" w:lineRule="auto"/>
      </w:pPr>
      <w:r>
        <w:rPr>
          <w:rFonts w:ascii="Calibri" w:hAnsi="Calibri"/>
          <w:b w:val="0"/>
          <w:i w:val="0"/>
          <w:sz w:val="22"/>
        </w:rPr>
        <w:t>During-task forward transfer: report the mixed-policy learning curve, because guide reuse is part of the proposed method.</w:t>
      </w:r>
    </w:p>
    <w:p>
      <w:pPr>
        <w:pStyle w:val="ListBullet"/>
        <w:spacing w:after="80" w:line="259" w:lineRule="auto"/>
      </w:pPr>
      <w:r>
        <w:rPr>
          <w:rFonts w:ascii="Calibri" w:hAnsi="Calibri"/>
          <w:b w:val="0"/>
          <w:i w:val="0"/>
          <w:sz w:val="22"/>
        </w:rPr>
        <w:t>Curriculum control: use the same mixed-policy evaluations for beta and h advancement.</w:t>
      </w:r>
    </w:p>
    <w:p>
      <w:pPr>
        <w:pStyle w:val="ListBullet"/>
        <w:spacing w:after="80" w:line="259" w:lineRule="auto"/>
      </w:pPr>
      <w:r>
        <w:rPr>
          <w:rFonts w:ascii="Calibri" w:hAnsi="Calibri"/>
          <w:b w:val="0"/>
          <w:i w:val="0"/>
          <w:sz w:val="22"/>
        </w:rPr>
        <w:t>Task-end performance: evaluate with h=0 (learner only).</w:t>
      </w:r>
    </w:p>
    <w:p>
      <w:pPr>
        <w:pStyle w:val="ListBullet"/>
        <w:spacing w:after="80" w:line="259" w:lineRule="auto"/>
      </w:pPr>
      <w:r>
        <w:rPr>
          <w:rFonts w:ascii="Calibri" w:hAnsi="Calibri"/>
          <w:b w:val="0"/>
          <w:i w:val="0"/>
          <w:sz w:val="22"/>
        </w:rPr>
        <w:t>Final average performance and forgetting: evaluate the learner heads after completing the full sequence.</w:t>
      </w:r>
    </w:p>
    <w:p>
      <w:pPr>
        <w:spacing w:after="120" w:line="264" w:lineRule="auto"/>
      </w:pPr>
      <w:r>
        <w:rPr>
          <w:rFonts w:ascii="Calibri" w:hAnsi="Calibri"/>
          <w:b/>
          <w:i w:val="0"/>
          <w:sz w:val="22"/>
        </w:rPr>
        <w:t>Implementation note:</w:t>
      </w:r>
      <w:r>
        <w:rPr>
          <w:rFonts w:ascii="Calibri" w:hAnsi="Calibri"/>
          <w:b w:val="0"/>
          <w:i w:val="0"/>
          <w:sz w:val="22"/>
        </w:rPr>
        <w:t xml:space="preserve"> WSRL, the frozen JSRL guide, curriculum and patience mechanism are implemented and tested as candidate variants. The output pipeline still needs to be refactored so that mixed-policy curves, rather than the current learner-only active curves, can be reported for policy-guided transfer experiments. No candidate has yet been selected as the final method.</w:t>
      </w:r>
    </w:p>
    <w:p>
      <w:pPr>
        <w:pStyle w:val="Heading1"/>
      </w:pPr>
      <w:r>
        <w:t>3. Baselines</w:t>
      </w:r>
    </w:p>
    <w:tbl>
      <w:tblPr>
        <w:tblStyle w:val="TableGrid"/>
        <w:tblW w:type="dxa" w:w="9360"/>
        <w:jc w:val="left"/>
        <w:tblLayout w:type="fixed"/>
        <w:tblLook w:firstColumn="1" w:firstRow="1" w:lastColumn="0" w:lastRow="0" w:noHBand="0" w:noVBand="1" w:val="04A0"/>
        <w:tblInd w:w="120" w:type="dxa"/>
      </w:tblPr>
      <w:tblGrid>
        <w:gridCol w:w="1900"/>
        <w:gridCol w:w="5000"/>
        <w:gridCol w:w="2460"/>
      </w:tblGrid>
      <w:tr>
        <w:tc>
          <w:tcPr>
            <w:tcW w:type="dxa" w:w="1900"/>
            <w:shd w:fill="E8EEF5"/>
            <w:vAlign w:val="center"/>
            <w:tcMar>
              <w:top w:w="80" w:type="dxa"/>
              <w:start w:w="120" w:type="dxa"/>
              <w:bottom w:w="80" w:type="dxa"/>
              <w:end w:w="120" w:type="dxa"/>
            </w:tcMar>
          </w:tcPr>
          <w:p>
            <w:pPr>
              <w:spacing w:after="0"/>
            </w:pPr>
            <w:r>
              <w:rPr>
                <w:rFonts w:ascii="Calibri" w:hAnsi="Calibri"/>
                <w:b/>
                <w:i w:val="0"/>
                <w:color w:val="1F4D78"/>
                <w:sz w:val="19"/>
              </w:rPr>
              <w:t>Baseline</w:t>
            </w:r>
          </w:p>
        </w:tc>
        <w:tc>
          <w:tcPr>
            <w:tcW w:type="dxa" w:w="5000"/>
            <w:shd w:fill="E8EEF5"/>
            <w:vAlign w:val="center"/>
            <w:tcMar>
              <w:top w:w="80" w:type="dxa"/>
              <w:start w:w="120" w:type="dxa"/>
              <w:bottom w:w="80" w:type="dxa"/>
              <w:end w:w="120" w:type="dxa"/>
            </w:tcMar>
          </w:tcPr>
          <w:p>
            <w:pPr>
              <w:spacing w:after="0"/>
            </w:pPr>
            <w:r>
              <w:rPr>
                <w:rFonts w:ascii="Calibri" w:hAnsi="Calibri"/>
                <w:b/>
                <w:i w:val="0"/>
                <w:color w:val="1F4D78"/>
                <w:sz w:val="19"/>
              </w:rPr>
              <w:t>Role / definition</w:t>
            </w:r>
          </w:p>
        </w:tc>
        <w:tc>
          <w:tcPr>
            <w:tcW w:type="dxa" w:w="2460"/>
            <w:shd w:fill="E8EEF5"/>
            <w:vAlign w:val="center"/>
            <w:tcMar>
              <w:top w:w="80" w:type="dxa"/>
              <w:start w:w="120" w:type="dxa"/>
              <w:bottom w:w="80" w:type="dxa"/>
              <w:end w:w="120" w:type="dxa"/>
            </w:tcMar>
          </w:tcPr>
          <w:p>
            <w:pPr>
              <w:spacing w:after="0"/>
            </w:pPr>
            <w:r>
              <w:rPr>
                <w:rFonts w:ascii="Calibri" w:hAnsi="Calibri"/>
                <w:b/>
                <w:i w:val="0"/>
                <w:color w:val="1F4D78"/>
                <w:sz w:val="19"/>
              </w:rPr>
              <w:t>Status</w:t>
            </w:r>
          </w:p>
        </w:tc>
      </w:tr>
      <w:tr>
        <w:tc>
          <w:tcPr>
            <w:tcW w:type="dxa" w:w="1900"/>
            <w:shd w:fill="FAFBFC"/>
            <w:vAlign w:val="center"/>
            <w:tcMar>
              <w:top w:w="80" w:type="dxa"/>
              <w:start w:w="120" w:type="dxa"/>
              <w:bottom w:w="80" w:type="dxa"/>
              <w:end w:w="120" w:type="dxa"/>
            </w:tcMar>
          </w:tcPr>
          <w:p>
            <w:pPr>
              <w:spacing w:after="0" w:line="252" w:lineRule="auto"/>
            </w:pPr>
            <w:r>
              <w:rPr>
                <w:rFonts w:ascii="Calibri" w:hAnsi="Calibri"/>
                <w:b w:val="0"/>
                <w:i w:val="0"/>
                <w:sz w:val="18"/>
              </w:rPr>
              <w:t>Single-task SAC</w:t>
            </w:r>
          </w:p>
        </w:tc>
        <w:tc>
          <w:tcPr>
            <w:tcW w:type="dxa" w:w="5000"/>
            <w:shd w:fill="FAFBFC"/>
            <w:vAlign w:val="center"/>
            <w:tcMar>
              <w:top w:w="80" w:type="dxa"/>
              <w:start w:w="120" w:type="dxa"/>
              <w:bottom w:w="80" w:type="dxa"/>
              <w:end w:w="120" w:type="dxa"/>
            </w:tcMar>
          </w:tcPr>
          <w:p>
            <w:pPr>
              <w:spacing w:after="0" w:line="252" w:lineRule="auto"/>
            </w:pPr>
            <w:r>
              <w:rPr>
                <w:rFonts w:ascii="Calibri" w:hAnsi="Calibri"/>
                <w:b w:val="0"/>
                <w:i w:val="0"/>
                <w:sz w:val="18"/>
              </w:rPr>
              <w:t>Independent SAC per task; reference learning curves for FT.</w:t>
            </w:r>
          </w:p>
        </w:tc>
        <w:tc>
          <w:tcPr>
            <w:tcW w:type="dxa" w:w="2460"/>
            <w:shd w:fill="FAFBFC"/>
            <w:vAlign w:val="center"/>
            <w:tcMar>
              <w:top w:w="80" w:type="dxa"/>
              <w:start w:w="120" w:type="dxa"/>
              <w:bottom w:w="80" w:type="dxa"/>
              <w:end w:w="120" w:type="dxa"/>
            </w:tcMar>
          </w:tcPr>
          <w:p>
            <w:pPr>
              <w:spacing w:after="0" w:line="252" w:lineRule="auto"/>
            </w:pPr>
            <w:r>
              <w:rPr>
                <w:rFonts w:ascii="Calibri" w:hAnsi="Calibri"/>
                <w:b w:val="0"/>
                <w:i w:val="0"/>
                <w:sz w:val="18"/>
              </w:rPr>
              <w:t>Running pilot</w:t>
            </w:r>
          </w:p>
        </w:tc>
      </w:tr>
      <w:tr>
        <w:tc>
          <w:tcPr>
            <w:tcW w:type="dxa" w:w="1900"/>
            <w:vAlign w:val="center"/>
            <w:tcMar>
              <w:top w:w="80" w:type="dxa"/>
              <w:start w:w="120" w:type="dxa"/>
              <w:bottom w:w="80" w:type="dxa"/>
              <w:end w:w="120" w:type="dxa"/>
            </w:tcMar>
          </w:tcPr>
          <w:p>
            <w:pPr>
              <w:spacing w:after="0" w:line="252" w:lineRule="auto"/>
            </w:pPr>
            <w:r>
              <w:rPr>
                <w:rFonts w:ascii="Calibri" w:hAnsi="Calibri"/>
                <w:b w:val="0"/>
                <w:i w:val="0"/>
                <w:sz w:val="18"/>
              </w:rPr>
              <w:t>Fine-tuning</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sz w:val="18"/>
              </w:rPr>
              <w:t>Single-head SAC trained sequentially with no anti-forgetting mechanism.</w:t>
            </w:r>
          </w:p>
        </w:tc>
        <w:tc>
          <w:tcPr>
            <w:tcW w:type="dxa" w:w="2460"/>
            <w:vAlign w:val="center"/>
            <w:tcMar>
              <w:top w:w="80" w:type="dxa"/>
              <w:start w:w="120" w:type="dxa"/>
              <w:bottom w:w="80" w:type="dxa"/>
              <w:end w:w="120" w:type="dxa"/>
            </w:tcMar>
          </w:tcPr>
          <w:p>
            <w:pPr>
              <w:spacing w:after="0" w:line="252" w:lineRule="auto"/>
            </w:pPr>
            <w:r>
              <w:rPr>
                <w:rFonts w:ascii="Calibri" w:hAnsi="Calibri"/>
                <w:b w:val="0"/>
                <w:i w:val="0"/>
                <w:sz w:val="18"/>
              </w:rPr>
              <w:t>Implemented</w:t>
            </w:r>
          </w:p>
        </w:tc>
      </w:tr>
      <w:tr>
        <w:tc>
          <w:tcPr>
            <w:tcW w:type="dxa" w:w="1900"/>
            <w:shd w:fill="FAFBFC"/>
            <w:vAlign w:val="center"/>
            <w:tcMar>
              <w:top w:w="80" w:type="dxa"/>
              <w:start w:w="120" w:type="dxa"/>
              <w:bottom w:w="80" w:type="dxa"/>
              <w:end w:w="120" w:type="dxa"/>
            </w:tcMar>
          </w:tcPr>
          <w:p>
            <w:pPr>
              <w:spacing w:after="0" w:line="252" w:lineRule="auto"/>
            </w:pPr>
            <w:r>
              <w:rPr>
                <w:rFonts w:ascii="Calibri" w:hAnsi="Calibri"/>
                <w:b w:val="0"/>
                <w:i w:val="0"/>
                <w:sz w:val="18"/>
              </w:rPr>
              <w:t>Task-conditioned</w:t>
            </w:r>
          </w:p>
        </w:tc>
        <w:tc>
          <w:tcPr>
            <w:tcW w:type="dxa" w:w="5000"/>
            <w:shd w:fill="FAFBFC"/>
            <w:vAlign w:val="center"/>
            <w:tcMar>
              <w:top w:w="80" w:type="dxa"/>
              <w:start w:w="120" w:type="dxa"/>
              <w:bottom w:w="80" w:type="dxa"/>
              <w:end w:w="120" w:type="dxa"/>
            </w:tcMar>
          </w:tcPr>
          <w:p>
            <w:pPr>
              <w:spacing w:after="0" w:line="252" w:lineRule="auto"/>
            </w:pPr>
            <w:r>
              <w:rPr>
                <w:rFonts w:ascii="Calibri" w:hAnsi="Calibri"/>
                <w:b w:val="0"/>
                <w:i w:val="0"/>
                <w:sz w:val="18"/>
              </w:rPr>
              <w:t>Single-head SAC with one-hot task vector; baseline and first task-embedding ablation.</w:t>
            </w:r>
          </w:p>
        </w:tc>
        <w:tc>
          <w:tcPr>
            <w:tcW w:type="dxa" w:w="2460"/>
            <w:shd w:fill="FAFBFC"/>
            <w:vAlign w:val="center"/>
            <w:tcMar>
              <w:top w:w="80" w:type="dxa"/>
              <w:start w:w="120" w:type="dxa"/>
              <w:bottom w:w="80" w:type="dxa"/>
              <w:end w:w="120" w:type="dxa"/>
            </w:tcMar>
          </w:tcPr>
          <w:p>
            <w:pPr>
              <w:spacing w:after="0" w:line="252" w:lineRule="auto"/>
            </w:pPr>
            <w:r>
              <w:rPr>
                <w:rFonts w:ascii="Calibri" w:hAnsi="Calibri"/>
                <w:b w:val="0"/>
                <w:i w:val="0"/>
                <w:sz w:val="18"/>
              </w:rPr>
              <w:t>Implemented</w:t>
            </w:r>
          </w:p>
        </w:tc>
      </w:tr>
      <w:tr>
        <w:tc>
          <w:tcPr>
            <w:tcW w:type="dxa" w:w="1900"/>
            <w:vAlign w:val="center"/>
            <w:tcMar>
              <w:top w:w="80" w:type="dxa"/>
              <w:start w:w="120" w:type="dxa"/>
              <w:bottom w:w="80" w:type="dxa"/>
              <w:end w:w="120" w:type="dxa"/>
            </w:tcMar>
          </w:tcPr>
          <w:p>
            <w:pPr>
              <w:spacing w:after="0" w:line="252" w:lineRule="auto"/>
            </w:pPr>
            <w:r>
              <w:rPr>
                <w:rFonts w:ascii="Calibri" w:hAnsi="Calibri"/>
                <w:b w:val="0"/>
                <w:i w:val="0"/>
                <w:sz w:val="18"/>
              </w:rPr>
              <w:t>PackNet</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sz w:val="18"/>
              </w:rPr>
              <w:t>Sequential parameter pruning/freezing with task-specific masks.</w:t>
            </w:r>
          </w:p>
        </w:tc>
        <w:tc>
          <w:tcPr>
            <w:tcW w:type="dxa" w:w="2460"/>
            <w:vAlign w:val="center"/>
            <w:tcMar>
              <w:top w:w="80" w:type="dxa"/>
              <w:start w:w="120" w:type="dxa"/>
              <w:bottom w:w="80" w:type="dxa"/>
              <w:end w:w="120" w:type="dxa"/>
            </w:tcMar>
          </w:tcPr>
          <w:p>
            <w:pPr>
              <w:spacing w:after="0" w:line="252" w:lineRule="auto"/>
            </w:pPr>
            <w:r>
              <w:rPr>
                <w:rFonts w:ascii="Calibri" w:hAnsi="Calibri"/>
                <w:b w:val="0"/>
                <w:i w:val="0"/>
                <w:sz w:val="18"/>
              </w:rPr>
              <w:t>Implemented; formal validation pending</w:t>
            </w:r>
          </w:p>
        </w:tc>
      </w:tr>
      <w:tr>
        <w:tc>
          <w:tcPr>
            <w:tcW w:type="dxa" w:w="1900"/>
            <w:shd w:fill="FAFBFC"/>
            <w:vAlign w:val="center"/>
            <w:tcMar>
              <w:top w:w="80" w:type="dxa"/>
              <w:start w:w="120" w:type="dxa"/>
              <w:bottom w:w="80" w:type="dxa"/>
              <w:end w:w="120" w:type="dxa"/>
            </w:tcMar>
          </w:tcPr>
          <w:p>
            <w:pPr>
              <w:spacing w:after="0" w:line="252" w:lineRule="auto"/>
            </w:pPr>
            <w:r>
              <w:rPr>
                <w:rFonts w:ascii="Calibri" w:hAnsi="Calibri"/>
                <w:b w:val="0"/>
                <w:i w:val="0"/>
                <w:sz w:val="18"/>
              </w:rPr>
              <w:t>ClonEx-SAC</w:t>
            </w:r>
          </w:p>
        </w:tc>
        <w:tc>
          <w:tcPr>
            <w:tcW w:type="dxa" w:w="5000"/>
            <w:shd w:fill="FAFBFC"/>
            <w:vAlign w:val="center"/>
            <w:tcMar>
              <w:top w:w="80" w:type="dxa"/>
              <w:start w:w="120" w:type="dxa"/>
              <w:bottom w:w="80" w:type="dxa"/>
              <w:end w:w="120" w:type="dxa"/>
            </w:tcMar>
          </w:tcPr>
          <w:p>
            <w:pPr>
              <w:spacing w:after="0" w:line="252" w:lineRule="auto"/>
            </w:pPr>
            <w:r>
              <w:rPr>
                <w:rFonts w:ascii="Calibri" w:hAnsi="Calibri"/>
                <w:b w:val="0"/>
                <w:i w:val="0"/>
                <w:sz w:val="18"/>
              </w:rPr>
              <w:t>Final variant: multi-head shared network, best-return exploration, episodic memory and actor behavior cloning.</w:t>
            </w:r>
          </w:p>
        </w:tc>
        <w:tc>
          <w:tcPr>
            <w:tcW w:type="dxa" w:w="2460"/>
            <w:shd w:fill="FAFBFC"/>
            <w:vAlign w:val="center"/>
            <w:tcMar>
              <w:top w:w="80" w:type="dxa"/>
              <w:start w:w="120" w:type="dxa"/>
              <w:bottom w:w="80" w:type="dxa"/>
              <w:end w:w="120" w:type="dxa"/>
            </w:tcMar>
          </w:tcPr>
          <w:p>
            <w:pPr>
              <w:spacing w:after="0" w:line="252" w:lineRule="auto"/>
            </w:pPr>
            <w:r>
              <w:rPr>
                <w:rFonts w:ascii="Calibri" w:hAnsi="Calibri"/>
                <w:b w:val="0"/>
                <w:i w:val="0"/>
                <w:sz w:val="18"/>
              </w:rPr>
              <w:t>Implemented; formal validation pending</w:t>
            </w:r>
          </w:p>
        </w:tc>
      </w:tr>
      <w:tr>
        <w:tc>
          <w:tcPr>
            <w:tcW w:type="dxa" w:w="1900"/>
            <w:vAlign w:val="center"/>
            <w:tcMar>
              <w:top w:w="80" w:type="dxa"/>
              <w:start w:w="120" w:type="dxa"/>
              <w:bottom w:w="80" w:type="dxa"/>
              <w:end w:w="120" w:type="dxa"/>
            </w:tcMar>
          </w:tcPr>
          <w:p>
            <w:pPr>
              <w:spacing w:after="0" w:line="252" w:lineRule="auto"/>
            </w:pPr>
            <w:r>
              <w:rPr>
                <w:rFonts w:ascii="Calibri" w:hAnsi="Calibri"/>
                <w:b w:val="0"/>
                <w:i w:val="0"/>
                <w:sz w:val="18"/>
              </w:rPr>
              <w:t>WSRL continual</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sz w:val="18"/>
              </w:rPr>
              <w:t>Candidate transfer mechanism: best-return frozen guide with a fixed warm-up.</w:t>
            </w:r>
          </w:p>
        </w:tc>
        <w:tc>
          <w:tcPr>
            <w:tcW w:type="dxa" w:w="2460"/>
            <w:vAlign w:val="center"/>
            <w:tcMar>
              <w:top w:w="80" w:type="dxa"/>
              <w:start w:w="120" w:type="dxa"/>
              <w:bottom w:w="80" w:type="dxa"/>
              <w:end w:w="120" w:type="dxa"/>
            </w:tcMar>
          </w:tcPr>
          <w:p>
            <w:pPr>
              <w:spacing w:after="0" w:line="252" w:lineRule="auto"/>
            </w:pPr>
            <w:r>
              <w:rPr>
                <w:rFonts w:ascii="Calibri" w:hAnsi="Calibri"/>
                <w:b w:val="0"/>
                <w:i w:val="0"/>
                <w:sz w:val="18"/>
              </w:rPr>
              <w:t>Implemented; ablation pending</w:t>
            </w:r>
          </w:p>
        </w:tc>
      </w:tr>
      <w:tr>
        <w:tc>
          <w:tcPr>
            <w:tcW w:type="dxa" w:w="1900"/>
            <w:shd w:fill="FAFBFC"/>
            <w:vAlign w:val="center"/>
            <w:tcMar>
              <w:top w:w="80" w:type="dxa"/>
              <w:start w:w="120" w:type="dxa"/>
              <w:bottom w:w="80" w:type="dxa"/>
              <w:end w:w="120" w:type="dxa"/>
            </w:tcMar>
          </w:tcPr>
          <w:p>
            <w:pPr>
              <w:spacing w:after="0" w:line="252" w:lineRule="auto"/>
            </w:pPr>
            <w:r>
              <w:rPr>
                <w:rFonts w:ascii="Calibri" w:hAnsi="Calibri"/>
                <w:b w:val="0"/>
                <w:i w:val="0"/>
                <w:sz w:val="18"/>
              </w:rPr>
              <w:t>JSRL continual</w:t>
            </w:r>
          </w:p>
        </w:tc>
        <w:tc>
          <w:tcPr>
            <w:tcW w:type="dxa" w:w="5000"/>
            <w:shd w:fill="FAFBFC"/>
            <w:vAlign w:val="center"/>
            <w:tcMar>
              <w:top w:w="80" w:type="dxa"/>
              <w:start w:w="120" w:type="dxa"/>
              <w:bottom w:w="80" w:type="dxa"/>
              <w:end w:w="120" w:type="dxa"/>
            </w:tcMar>
          </w:tcPr>
          <w:p>
            <w:pPr>
              <w:spacing w:after="0" w:line="252" w:lineRule="auto"/>
            </w:pPr>
            <w:r>
              <w:rPr>
                <w:rFonts w:ascii="Calibri" w:hAnsi="Calibri"/>
                <w:b w:val="0"/>
                <w:i w:val="0"/>
                <w:sz w:val="18"/>
              </w:rPr>
              <w:t>Candidate transfer mechanism: best-return frozen guide with adaptive h curriculum.</w:t>
            </w:r>
          </w:p>
        </w:tc>
        <w:tc>
          <w:tcPr>
            <w:tcW w:type="dxa" w:w="2460"/>
            <w:shd w:fill="FAFBFC"/>
            <w:vAlign w:val="center"/>
            <w:tcMar>
              <w:top w:w="80" w:type="dxa"/>
              <w:start w:w="120" w:type="dxa"/>
              <w:bottom w:w="80" w:type="dxa"/>
              <w:end w:w="120" w:type="dxa"/>
            </w:tcMar>
          </w:tcPr>
          <w:p>
            <w:pPr>
              <w:spacing w:after="0" w:line="252" w:lineRule="auto"/>
            </w:pPr>
            <w:r>
              <w:rPr>
                <w:rFonts w:ascii="Calibri" w:hAnsi="Calibri"/>
                <w:b w:val="0"/>
                <w:i w:val="0"/>
                <w:sz w:val="18"/>
              </w:rPr>
              <w:t>Implemented; ablation pending</w:t>
            </w:r>
          </w:p>
        </w:tc>
      </w:tr>
    </w:tbl>
    <w:p>
      <w:pPr>
        <w:spacing w:after="0"/>
      </w:pPr>
    </w:p>
    <w:p>
      <w:pPr>
        <w:pStyle w:val="Heading1"/>
      </w:pPr>
      <w:r>
        <w:t>4. Experimental Platform</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E8EEF5"/>
            <w:vAlign w:val="center"/>
            <w:tcMar>
              <w:top w:w="80" w:type="dxa"/>
              <w:start w:w="120" w:type="dxa"/>
              <w:bottom w:w="80" w:type="dxa"/>
              <w:end w:w="120" w:type="dxa"/>
            </w:tcMar>
          </w:tcPr>
          <w:p>
            <w:pPr>
              <w:spacing w:after="0"/>
            </w:pPr>
            <w:r>
              <w:rPr>
                <w:rFonts w:ascii="Calibri" w:hAnsi="Calibri"/>
                <w:b/>
                <w:i w:val="0"/>
                <w:color w:val="1F4D78"/>
                <w:sz w:val="19"/>
              </w:rPr>
              <w:t>Component</w:t>
            </w:r>
          </w:p>
        </w:tc>
        <w:tc>
          <w:tcPr>
            <w:tcW w:type="dxa" w:w="7260"/>
            <w:shd w:fill="E8EEF5"/>
            <w:vAlign w:val="center"/>
            <w:tcMar>
              <w:top w:w="80" w:type="dxa"/>
              <w:start w:w="120" w:type="dxa"/>
              <w:bottom w:w="80" w:type="dxa"/>
              <w:end w:w="120" w:type="dxa"/>
            </w:tcMar>
          </w:tcPr>
          <w:p>
            <w:pPr>
              <w:spacing w:after="0"/>
            </w:pPr>
            <w:r>
              <w:rPr>
                <w:rFonts w:ascii="Calibri" w:hAnsi="Calibri"/>
                <w:b/>
                <w:i w:val="0"/>
                <w:color w:val="1F4D78"/>
                <w:sz w:val="19"/>
              </w:rPr>
              <w:t>Current protocol</w:t>
            </w:r>
          </w:p>
        </w:tc>
      </w:tr>
      <w:tr>
        <w:tc>
          <w:tcPr>
            <w:tcW w:type="dxa" w:w="2100"/>
            <w:shd w:fill="FAFBFC"/>
            <w:vAlign w:val="center"/>
            <w:tcMar>
              <w:top w:w="80" w:type="dxa"/>
              <w:start w:w="120" w:type="dxa"/>
              <w:bottom w:w="80" w:type="dxa"/>
              <w:end w:w="120" w:type="dxa"/>
            </w:tcMar>
          </w:tcPr>
          <w:p>
            <w:pPr>
              <w:spacing w:after="0" w:line="252" w:lineRule="auto"/>
            </w:pPr>
            <w:r>
              <w:rPr>
                <w:rFonts w:ascii="Calibri" w:hAnsi="Calibri"/>
                <w:b w:val="0"/>
                <w:i w:val="0"/>
                <w:sz w:val="18"/>
              </w:rPr>
              <w:t>Environment</w:t>
            </w:r>
          </w:p>
        </w:tc>
        <w:tc>
          <w:tcPr>
            <w:tcW w:type="dxa" w:w="7260"/>
            <w:shd w:fill="FAFBFC"/>
            <w:vAlign w:val="center"/>
            <w:tcMar>
              <w:top w:w="80" w:type="dxa"/>
              <w:start w:w="120" w:type="dxa"/>
              <w:bottom w:w="80" w:type="dxa"/>
              <w:end w:w="120" w:type="dxa"/>
            </w:tcMar>
          </w:tcPr>
          <w:p>
            <w:pPr>
              <w:spacing w:after="0" w:line="252" w:lineRule="auto"/>
            </w:pPr>
            <w:r>
              <w:rPr>
                <w:rFonts w:ascii="Calibri" w:hAnsi="Calibri"/>
                <w:b w:val="0"/>
                <w:i w:val="0"/>
                <w:sz w:val="18"/>
              </w:rPr>
              <w:t>Meta-World v3; full observation (not cropped to legacy 12-D)</w:t>
            </w:r>
          </w:p>
        </w:tc>
      </w:tr>
      <w:tr>
        <w:tc>
          <w:tcPr>
            <w:tcW w:type="dxa" w:w="2100"/>
            <w:vAlign w:val="center"/>
            <w:tcMar>
              <w:top w:w="80" w:type="dxa"/>
              <w:start w:w="120" w:type="dxa"/>
              <w:bottom w:w="80" w:type="dxa"/>
              <w:end w:w="120" w:type="dxa"/>
            </w:tcMar>
          </w:tcPr>
          <w:p>
            <w:pPr>
              <w:spacing w:after="0" w:line="252" w:lineRule="auto"/>
            </w:pPr>
            <w:r>
              <w:rPr>
                <w:rFonts w:ascii="Calibri" w:hAnsi="Calibri"/>
                <w:b w:val="0"/>
                <w:i w:val="0"/>
                <w:sz w:val="18"/>
              </w:rPr>
              <w:t>Sequence</w:t>
            </w:r>
          </w:p>
        </w:tc>
        <w:tc>
          <w:tcPr>
            <w:tcW w:type="dxa" w:w="7260"/>
            <w:vAlign w:val="center"/>
            <w:tcMar>
              <w:top w:w="80" w:type="dxa"/>
              <w:start w:w="120" w:type="dxa"/>
              <w:bottom w:w="80" w:type="dxa"/>
              <w:end w:w="120" w:type="dxa"/>
            </w:tcMar>
          </w:tcPr>
          <w:p>
            <w:pPr>
              <w:spacing w:after="0" w:line="252" w:lineRule="auto"/>
            </w:pPr>
            <w:r>
              <w:rPr>
                <w:rFonts w:ascii="Calibri" w:hAnsi="Calibri"/>
                <w:b w:val="0"/>
                <w:i w:val="0"/>
                <w:sz w:val="18"/>
              </w:rPr>
              <w:t>CW10: hammer, push-wall, faucet-close, push-back, stick-pull, handle-press-side, push, shelf-place, window-close, peg-unplug-side</w:t>
            </w:r>
          </w:p>
        </w:tc>
      </w:tr>
      <w:tr>
        <w:tc>
          <w:tcPr>
            <w:tcW w:type="dxa" w:w="2100"/>
            <w:shd w:fill="FAFBFC"/>
            <w:vAlign w:val="center"/>
            <w:tcMar>
              <w:top w:w="80" w:type="dxa"/>
              <w:start w:w="120" w:type="dxa"/>
              <w:bottom w:w="80" w:type="dxa"/>
              <w:end w:w="120" w:type="dxa"/>
            </w:tcMar>
          </w:tcPr>
          <w:p>
            <w:pPr>
              <w:spacing w:after="0" w:line="252" w:lineRule="auto"/>
            </w:pPr>
            <w:r>
              <w:rPr>
                <w:rFonts w:ascii="Calibri" w:hAnsi="Calibri"/>
                <w:b w:val="0"/>
                <w:i w:val="0"/>
                <w:sz w:val="18"/>
              </w:rPr>
              <w:t>Learner</w:t>
            </w:r>
          </w:p>
        </w:tc>
        <w:tc>
          <w:tcPr>
            <w:tcW w:type="dxa" w:w="7260"/>
            <w:shd w:fill="FAFBFC"/>
            <w:vAlign w:val="center"/>
            <w:tcMar>
              <w:top w:w="80" w:type="dxa"/>
              <w:start w:w="120" w:type="dxa"/>
              <w:bottom w:w="80" w:type="dxa"/>
              <w:end w:w="120" w:type="dxa"/>
            </w:tcMar>
          </w:tcPr>
          <w:p>
            <w:pPr>
              <w:spacing w:after="0" w:line="252" w:lineRule="auto"/>
            </w:pPr>
            <w:r>
              <w:rPr>
                <w:rFonts w:ascii="Calibri" w:hAnsi="Calibri"/>
                <w:b w:val="0"/>
                <w:i w:val="0"/>
                <w:sz w:val="18"/>
              </w:rPr>
              <w:t>PyTorch SAC; 4 x 256 hidden layers; batch 128</w:t>
            </w:r>
          </w:p>
        </w:tc>
      </w:tr>
      <w:tr>
        <w:tc>
          <w:tcPr>
            <w:tcW w:type="dxa" w:w="2100"/>
            <w:vAlign w:val="center"/>
            <w:tcMar>
              <w:top w:w="80" w:type="dxa"/>
              <w:start w:w="120" w:type="dxa"/>
              <w:bottom w:w="80" w:type="dxa"/>
              <w:end w:w="120" w:type="dxa"/>
            </w:tcMar>
          </w:tcPr>
          <w:p>
            <w:pPr>
              <w:spacing w:after="0" w:line="252" w:lineRule="auto"/>
            </w:pPr>
            <w:r>
              <w:rPr>
                <w:rFonts w:ascii="Calibri" w:hAnsi="Calibri"/>
                <w:b w:val="0"/>
                <w:i w:val="0"/>
                <w:sz w:val="18"/>
              </w:rPr>
              <w:t>Formal budget</w:t>
            </w:r>
          </w:p>
        </w:tc>
        <w:tc>
          <w:tcPr>
            <w:tcW w:type="dxa" w:w="7260"/>
            <w:vAlign w:val="center"/>
            <w:tcMar>
              <w:top w:w="80" w:type="dxa"/>
              <w:start w:w="120" w:type="dxa"/>
              <w:bottom w:w="80" w:type="dxa"/>
              <w:end w:w="120" w:type="dxa"/>
            </w:tcMar>
          </w:tcPr>
          <w:p>
            <w:pPr>
              <w:spacing w:after="0" w:line="252" w:lineRule="auto"/>
            </w:pPr>
            <w:r>
              <w:rPr>
                <w:rFonts w:ascii="Calibri" w:hAnsi="Calibri"/>
                <w:b w:val="0"/>
                <w:i w:val="0"/>
                <w:sz w:val="18"/>
              </w:rPr>
              <w:t>1,000,000 environment steps per task</w:t>
            </w:r>
          </w:p>
        </w:tc>
      </w:tr>
      <w:tr>
        <w:tc>
          <w:tcPr>
            <w:tcW w:type="dxa" w:w="2100"/>
            <w:shd w:fill="FAFBFC"/>
            <w:vAlign w:val="center"/>
            <w:tcMar>
              <w:top w:w="80" w:type="dxa"/>
              <w:start w:w="120" w:type="dxa"/>
              <w:bottom w:w="80" w:type="dxa"/>
              <w:end w:w="120" w:type="dxa"/>
            </w:tcMar>
          </w:tcPr>
          <w:p>
            <w:pPr>
              <w:spacing w:after="0" w:line="252" w:lineRule="auto"/>
            </w:pPr>
            <w:r>
              <w:rPr>
                <w:rFonts w:ascii="Calibri" w:hAnsi="Calibri"/>
                <w:b w:val="0"/>
                <w:i w:val="0"/>
                <w:sz w:val="18"/>
              </w:rPr>
              <w:t>Evaluation</w:t>
            </w:r>
          </w:p>
        </w:tc>
        <w:tc>
          <w:tcPr>
            <w:tcW w:type="dxa" w:w="7260"/>
            <w:shd w:fill="FAFBFC"/>
            <w:vAlign w:val="center"/>
            <w:tcMar>
              <w:top w:w="80" w:type="dxa"/>
              <w:start w:w="120" w:type="dxa"/>
              <w:bottom w:w="80" w:type="dxa"/>
              <w:end w:w="120" w:type="dxa"/>
            </w:tcMar>
          </w:tcPr>
          <w:p>
            <w:pPr>
              <w:spacing w:after="0" w:line="252" w:lineRule="auto"/>
            </w:pPr>
            <w:r>
              <w:rPr>
                <w:rFonts w:ascii="Calibri" w:hAnsi="Calibri"/>
                <w:b w:val="0"/>
                <w:i w:val="0"/>
                <w:sz w:val="18"/>
              </w:rPr>
              <w:t>Every 20,000 steps; formal target: 10 stochastic + 1 deterministic episodes</w:t>
            </w:r>
          </w:p>
        </w:tc>
      </w:tr>
      <w:tr>
        <w:tc>
          <w:tcPr>
            <w:tcW w:type="dxa" w:w="2100"/>
            <w:vAlign w:val="center"/>
            <w:tcMar>
              <w:top w:w="80" w:type="dxa"/>
              <w:start w:w="120" w:type="dxa"/>
              <w:bottom w:w="80" w:type="dxa"/>
              <w:end w:w="120" w:type="dxa"/>
            </w:tcMar>
          </w:tcPr>
          <w:p>
            <w:pPr>
              <w:spacing w:after="0" w:line="252" w:lineRule="auto"/>
            </w:pPr>
            <w:r>
              <w:rPr>
                <w:rFonts w:ascii="Calibri" w:hAnsi="Calibri"/>
                <w:b w:val="0"/>
                <w:i w:val="0"/>
                <w:sz w:val="18"/>
              </w:rPr>
              <w:t>Core SAC</w:t>
            </w:r>
          </w:p>
        </w:tc>
        <w:tc>
          <w:tcPr>
            <w:tcW w:type="dxa" w:w="7260"/>
            <w:vAlign w:val="center"/>
            <w:tcMar>
              <w:top w:w="80" w:type="dxa"/>
              <w:start w:w="120" w:type="dxa"/>
              <w:bottom w:w="80" w:type="dxa"/>
              <w:end w:w="120" w:type="dxa"/>
            </w:tcMar>
          </w:tcPr>
          <w:p>
            <w:pPr>
              <w:spacing w:after="0" w:line="252" w:lineRule="auto"/>
            </w:pPr>
            <w:r>
              <w:rPr>
                <w:rFonts w:ascii="Calibri" w:hAnsi="Calibri"/>
                <w:b w:val="0"/>
                <w:i w:val="0"/>
                <w:sz w:val="18"/>
              </w:rPr>
              <w:t>Replay 1M; start steps 10k; update after 1k; update frequency 50; lr 1e-3; gamma 0.99; Polyak 0.995</w:t>
            </w:r>
          </w:p>
        </w:tc>
      </w:tr>
      <w:tr>
        <w:tc>
          <w:tcPr>
            <w:tcW w:type="dxa" w:w="2100"/>
            <w:shd w:fill="FAFBFC"/>
            <w:vAlign w:val="center"/>
            <w:tcMar>
              <w:top w:w="80" w:type="dxa"/>
              <w:start w:w="120" w:type="dxa"/>
              <w:bottom w:w="80" w:type="dxa"/>
              <w:end w:w="120" w:type="dxa"/>
            </w:tcMar>
          </w:tcPr>
          <w:p>
            <w:pPr>
              <w:spacing w:after="0" w:line="252" w:lineRule="auto"/>
            </w:pPr>
            <w:r>
              <w:rPr>
                <w:rFonts w:ascii="Calibri" w:hAnsi="Calibri"/>
                <w:b w:val="0"/>
                <w:i w:val="0"/>
                <w:sz w:val="18"/>
              </w:rPr>
              <w:t>Episode</w:t>
            </w:r>
          </w:p>
        </w:tc>
        <w:tc>
          <w:tcPr>
            <w:tcW w:type="dxa" w:w="7260"/>
            <w:shd w:fill="FAFBFC"/>
            <w:vAlign w:val="center"/>
            <w:tcMar>
              <w:top w:w="80" w:type="dxa"/>
              <w:start w:w="120" w:type="dxa"/>
              <w:bottom w:w="80" w:type="dxa"/>
              <w:end w:w="120" w:type="dxa"/>
            </w:tcMar>
          </w:tcPr>
          <w:p>
            <w:pPr>
              <w:spacing w:after="0" w:line="252" w:lineRule="auto"/>
            </w:pPr>
            <w:r>
              <w:rPr>
                <w:rFonts w:ascii="Calibri" w:hAnsi="Calibri"/>
                <w:b w:val="0"/>
                <w:i w:val="0"/>
                <w:sz w:val="18"/>
              </w:rPr>
              <w:t>Maximum 200 steps</w:t>
            </w:r>
          </w:p>
        </w:tc>
      </w:tr>
      <w:tr>
        <w:tc>
          <w:tcPr>
            <w:tcW w:type="dxa" w:w="2100"/>
            <w:vAlign w:val="center"/>
            <w:tcMar>
              <w:top w:w="80" w:type="dxa"/>
              <w:start w:w="120" w:type="dxa"/>
              <w:bottom w:w="80" w:type="dxa"/>
              <w:end w:w="120" w:type="dxa"/>
            </w:tcMar>
          </w:tcPr>
          <w:p>
            <w:pPr>
              <w:spacing w:after="0" w:line="252" w:lineRule="auto"/>
            </w:pPr>
            <w:r>
              <w:rPr>
                <w:rFonts w:ascii="Calibri" w:hAnsi="Calibri"/>
                <w:b w:val="0"/>
                <w:i w:val="0"/>
                <w:sz w:val="18"/>
              </w:rPr>
              <w:t>Metrics</w:t>
            </w:r>
          </w:p>
        </w:tc>
        <w:tc>
          <w:tcPr>
            <w:tcW w:type="dxa" w:w="7260"/>
            <w:vAlign w:val="center"/>
            <w:tcMar>
              <w:top w:w="80" w:type="dxa"/>
              <w:start w:w="120" w:type="dxa"/>
              <w:bottom w:w="80" w:type="dxa"/>
              <w:end w:w="120" w:type="dxa"/>
            </w:tcMar>
          </w:tcPr>
          <w:p>
            <w:pPr>
              <w:spacing w:after="0" w:line="252" w:lineRule="auto"/>
            </w:pPr>
            <w:r>
              <w:rPr>
                <w:rFonts w:ascii="Calibri" w:hAnsi="Calibri"/>
                <w:b w:val="0"/>
                <w:i w:val="0"/>
                <w:sz w:val="18"/>
              </w:rPr>
              <w:t>Average performance, average return, forgetting, forward transfer and per-task results</w:t>
            </w:r>
          </w:p>
        </w:tc>
      </w:tr>
    </w:tbl>
    <w:p>
      <w:pPr>
        <w:spacing w:after="0"/>
      </w:pPr>
    </w:p>
    <w:p>
      <w:pPr>
        <w:pStyle w:val="Heading1"/>
      </w:pPr>
      <w:r>
        <w:t>5. Current Experiments — PILOT</w:t>
      </w:r>
    </w:p>
    <w:p>
      <w:pPr>
        <w:spacing w:after="120" w:line="264" w:lineRule="auto"/>
      </w:pPr>
      <w:r>
        <w:rPr>
          <w:rFonts w:ascii="Calibri" w:hAnsi="Calibri"/>
          <w:b w:val="0"/>
          <w:i w:val="0"/>
          <w:sz w:val="22"/>
        </w:rPr>
        <w:t>The active experiment is a runtime and pipeline pilot, not a formal benchmark result. It tests whether single-task SAC can complete reliably on the local machine and produces baseline artifacts suitable for later forward-transfer calculations.</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c>
          <w:tcPr>
            <w:tcW w:type="dxa" w:w="1800"/>
            <w:shd w:fill="E8EEF5"/>
            <w:vAlign w:val="center"/>
            <w:tcMar>
              <w:top w:w="80" w:type="dxa"/>
              <w:start w:w="120" w:type="dxa"/>
              <w:bottom w:w="80" w:type="dxa"/>
              <w:end w:w="120" w:type="dxa"/>
            </w:tcMar>
          </w:tcPr>
          <w:p>
            <w:pPr>
              <w:spacing w:after="0"/>
            </w:pPr>
            <w:r>
              <w:rPr>
                <w:rFonts w:ascii="Calibri" w:hAnsi="Calibri"/>
                <w:b/>
                <w:i w:val="0"/>
                <w:color w:val="1F4D78"/>
                <w:sz w:val="19"/>
              </w:rPr>
              <w:t>Item</w:t>
            </w:r>
          </w:p>
        </w:tc>
        <w:tc>
          <w:tcPr>
            <w:tcW w:type="dxa" w:w="3780"/>
            <w:shd w:fill="E8EEF5"/>
            <w:vAlign w:val="center"/>
            <w:tcMar>
              <w:top w:w="80" w:type="dxa"/>
              <w:start w:w="120" w:type="dxa"/>
              <w:bottom w:w="80" w:type="dxa"/>
              <w:end w:w="120" w:type="dxa"/>
            </w:tcMar>
          </w:tcPr>
          <w:p>
            <w:pPr>
              <w:spacing w:after="0"/>
            </w:pPr>
            <w:r>
              <w:rPr>
                <w:rFonts w:ascii="Calibri" w:hAnsi="Calibri"/>
                <w:b/>
                <w:i w:val="0"/>
                <w:color w:val="1F4D78"/>
                <w:sz w:val="19"/>
              </w:rPr>
              <w:t>Pilot setting</w:t>
            </w:r>
          </w:p>
        </w:tc>
        <w:tc>
          <w:tcPr>
            <w:tcW w:type="dxa" w:w="3780"/>
            <w:shd w:fill="E8EEF5"/>
            <w:vAlign w:val="center"/>
            <w:tcMar>
              <w:top w:w="80" w:type="dxa"/>
              <w:start w:w="120" w:type="dxa"/>
              <w:bottom w:w="80" w:type="dxa"/>
              <w:end w:w="120" w:type="dxa"/>
            </w:tcMar>
          </w:tcPr>
          <w:p>
            <w:pPr>
              <w:spacing w:after="0"/>
            </w:pPr>
            <w:r>
              <w:rPr>
                <w:rFonts w:ascii="Calibri" w:hAnsi="Calibri"/>
                <w:b/>
                <w:i w:val="0"/>
                <w:color w:val="1F4D78"/>
                <w:sz w:val="19"/>
              </w:rPr>
              <w:t>Formal target</w:t>
            </w:r>
          </w:p>
        </w:tc>
      </w:tr>
      <w:tr>
        <w:tc>
          <w:tcPr>
            <w:tcW w:type="dxa" w:w="1800"/>
            <w:shd w:fill="FAFBFC"/>
            <w:vAlign w:val="center"/>
            <w:tcMar>
              <w:top w:w="80" w:type="dxa"/>
              <w:start w:w="120" w:type="dxa"/>
              <w:bottom w:w="80" w:type="dxa"/>
              <w:end w:w="120" w:type="dxa"/>
            </w:tcMar>
          </w:tcPr>
          <w:p>
            <w:pPr>
              <w:spacing w:after="0" w:line="252" w:lineRule="auto"/>
            </w:pPr>
            <w:r>
              <w:rPr>
                <w:rFonts w:ascii="Calibri" w:hAnsi="Calibri"/>
                <w:b w:val="0"/>
                <w:i w:val="0"/>
                <w:sz w:val="18"/>
              </w:rPr>
              <w:t>Task coverage</w:t>
            </w:r>
          </w:p>
        </w:tc>
        <w:tc>
          <w:tcPr>
            <w:tcW w:type="dxa" w:w="3780"/>
            <w:shd w:fill="FAFBFC"/>
            <w:vAlign w:val="center"/>
            <w:tcMar>
              <w:top w:w="80" w:type="dxa"/>
              <w:start w:w="120" w:type="dxa"/>
              <w:bottom w:w="80" w:type="dxa"/>
              <w:end w:w="120" w:type="dxa"/>
            </w:tcMar>
          </w:tcPr>
          <w:p>
            <w:pPr>
              <w:spacing w:after="0" w:line="252" w:lineRule="auto"/>
            </w:pPr>
            <w:r>
              <w:rPr>
                <w:rFonts w:ascii="Calibri" w:hAnsi="Calibri"/>
                <w:b w:val="0"/>
                <w:i w:val="0"/>
                <w:sz w:val="18"/>
              </w:rPr>
              <w:t>First 5 CW tasks (CW5 subset)</w:t>
            </w:r>
          </w:p>
        </w:tc>
        <w:tc>
          <w:tcPr>
            <w:tcW w:type="dxa" w:w="3780"/>
            <w:shd w:fill="FAFBFC"/>
            <w:vAlign w:val="center"/>
            <w:tcMar>
              <w:top w:w="80" w:type="dxa"/>
              <w:start w:w="120" w:type="dxa"/>
              <w:bottom w:w="80" w:type="dxa"/>
              <w:end w:w="120" w:type="dxa"/>
            </w:tcMar>
          </w:tcPr>
          <w:p>
            <w:pPr>
              <w:spacing w:after="0" w:line="252" w:lineRule="auto"/>
            </w:pPr>
            <w:r>
              <w:rPr>
                <w:rFonts w:ascii="Calibri" w:hAnsi="Calibri"/>
                <w:b w:val="0"/>
                <w:i w:val="0"/>
                <w:sz w:val="18"/>
              </w:rPr>
              <w:t>All 10 CW10 tasks</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i w:val="0"/>
                <w:sz w:val="18"/>
              </w:rPr>
              <w:t>Training budget</w:t>
            </w:r>
          </w:p>
        </w:tc>
        <w:tc>
          <w:tcPr>
            <w:tcW w:type="dxa" w:w="3780"/>
            <w:vAlign w:val="center"/>
            <w:tcMar>
              <w:top w:w="80" w:type="dxa"/>
              <w:start w:w="120" w:type="dxa"/>
              <w:bottom w:w="80" w:type="dxa"/>
              <w:end w:w="120" w:type="dxa"/>
            </w:tcMar>
          </w:tcPr>
          <w:p>
            <w:pPr>
              <w:spacing w:after="0" w:line="252" w:lineRule="auto"/>
            </w:pPr>
            <w:r>
              <w:rPr>
                <w:rFonts w:ascii="Calibri" w:hAnsi="Calibri"/>
                <w:b w:val="0"/>
                <w:i w:val="0"/>
                <w:sz w:val="18"/>
              </w:rPr>
              <w:t>500k steps/task</w:t>
            </w:r>
          </w:p>
        </w:tc>
        <w:tc>
          <w:tcPr>
            <w:tcW w:type="dxa" w:w="3780"/>
            <w:vAlign w:val="center"/>
            <w:tcMar>
              <w:top w:w="80" w:type="dxa"/>
              <w:start w:w="120" w:type="dxa"/>
              <w:bottom w:w="80" w:type="dxa"/>
              <w:end w:w="120" w:type="dxa"/>
            </w:tcMar>
          </w:tcPr>
          <w:p>
            <w:pPr>
              <w:spacing w:after="0" w:line="252" w:lineRule="auto"/>
            </w:pPr>
            <w:r>
              <w:rPr>
                <w:rFonts w:ascii="Calibri" w:hAnsi="Calibri"/>
                <w:b w:val="0"/>
                <w:i w:val="0"/>
                <w:sz w:val="18"/>
              </w:rPr>
              <w:t>1M steps/task</w:t>
            </w:r>
          </w:p>
        </w:tc>
      </w:tr>
      <w:tr>
        <w:tc>
          <w:tcPr>
            <w:tcW w:type="dxa" w:w="1800"/>
            <w:shd w:fill="FAFBFC"/>
            <w:vAlign w:val="center"/>
            <w:tcMar>
              <w:top w:w="80" w:type="dxa"/>
              <w:start w:w="120" w:type="dxa"/>
              <w:bottom w:w="80" w:type="dxa"/>
              <w:end w:w="120" w:type="dxa"/>
            </w:tcMar>
          </w:tcPr>
          <w:p>
            <w:pPr>
              <w:spacing w:after="0" w:line="252" w:lineRule="auto"/>
            </w:pPr>
            <w:r>
              <w:rPr>
                <w:rFonts w:ascii="Calibri" w:hAnsi="Calibri"/>
                <w:b w:val="0"/>
                <w:i w:val="0"/>
                <w:sz w:val="18"/>
              </w:rPr>
              <w:t>Seeds</w:t>
            </w:r>
          </w:p>
        </w:tc>
        <w:tc>
          <w:tcPr>
            <w:tcW w:type="dxa" w:w="3780"/>
            <w:shd w:fill="FAFBFC"/>
            <w:vAlign w:val="center"/>
            <w:tcMar>
              <w:top w:w="80" w:type="dxa"/>
              <w:start w:w="120" w:type="dxa"/>
              <w:bottom w:w="80" w:type="dxa"/>
              <w:end w:w="120" w:type="dxa"/>
            </w:tcMar>
          </w:tcPr>
          <w:p>
            <w:pPr>
              <w:spacing w:after="0" w:line="252" w:lineRule="auto"/>
            </w:pPr>
            <w:r>
              <w:rPr>
                <w:rFonts w:ascii="Calibri" w:hAnsi="Calibri"/>
                <w:b w:val="0"/>
                <w:i w:val="0"/>
                <w:sz w:val="18"/>
              </w:rPr>
              <w:t>Seed 0 only</w:t>
            </w:r>
          </w:p>
        </w:tc>
        <w:tc>
          <w:tcPr>
            <w:tcW w:type="dxa" w:w="3780"/>
            <w:shd w:fill="FAFBFC"/>
            <w:vAlign w:val="center"/>
            <w:tcMar>
              <w:top w:w="80" w:type="dxa"/>
              <w:start w:w="120" w:type="dxa"/>
              <w:bottom w:w="80" w:type="dxa"/>
              <w:end w:w="120" w:type="dxa"/>
            </w:tcMar>
          </w:tcPr>
          <w:p>
            <w:pPr>
              <w:spacing w:after="0" w:line="252" w:lineRule="auto"/>
            </w:pPr>
            <w:r>
              <w:rPr>
                <w:rFonts w:ascii="Calibri" w:hAnsi="Calibri"/>
                <w:b w:val="0"/>
                <w:i w:val="0"/>
                <w:sz w:val="18"/>
              </w:rPr>
              <w:t>At least 3 fixed seeds</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i w:val="0"/>
                <w:sz w:val="18"/>
              </w:rPr>
              <w:t>Evaluation</w:t>
            </w:r>
          </w:p>
        </w:tc>
        <w:tc>
          <w:tcPr>
            <w:tcW w:type="dxa" w:w="3780"/>
            <w:vAlign w:val="center"/>
            <w:tcMar>
              <w:top w:w="80" w:type="dxa"/>
              <w:start w:w="120" w:type="dxa"/>
              <w:bottom w:w="80" w:type="dxa"/>
              <w:end w:w="120" w:type="dxa"/>
            </w:tcMar>
          </w:tcPr>
          <w:p>
            <w:pPr>
              <w:spacing w:after="0" w:line="252" w:lineRule="auto"/>
            </w:pPr>
            <w:r>
              <w:rPr>
                <w:rFonts w:ascii="Calibri" w:hAnsi="Calibri"/>
                <w:b w:val="0"/>
                <w:i w:val="0"/>
                <w:sz w:val="18"/>
              </w:rPr>
              <w:t>5 stochastic, 0 deterministic</w:t>
            </w:r>
          </w:p>
        </w:tc>
        <w:tc>
          <w:tcPr>
            <w:tcW w:type="dxa" w:w="3780"/>
            <w:vAlign w:val="center"/>
            <w:tcMar>
              <w:top w:w="80" w:type="dxa"/>
              <w:start w:w="120" w:type="dxa"/>
              <w:bottom w:w="80" w:type="dxa"/>
              <w:end w:w="120" w:type="dxa"/>
            </w:tcMar>
          </w:tcPr>
          <w:p>
            <w:pPr>
              <w:spacing w:after="0" w:line="252" w:lineRule="auto"/>
            </w:pPr>
            <w:r>
              <w:rPr>
                <w:rFonts w:ascii="Calibri" w:hAnsi="Calibri"/>
                <w:b w:val="0"/>
                <w:i w:val="0"/>
                <w:sz w:val="18"/>
              </w:rPr>
              <w:t>10 stochastic + 1 deterministic</w:t>
            </w:r>
          </w:p>
        </w:tc>
      </w:tr>
      <w:tr>
        <w:tc>
          <w:tcPr>
            <w:tcW w:type="dxa" w:w="1800"/>
            <w:shd w:fill="FAFBFC"/>
            <w:vAlign w:val="center"/>
            <w:tcMar>
              <w:top w:w="80" w:type="dxa"/>
              <w:start w:w="120" w:type="dxa"/>
              <w:bottom w:w="80" w:type="dxa"/>
              <w:end w:w="120" w:type="dxa"/>
            </w:tcMar>
          </w:tcPr>
          <w:p>
            <w:pPr>
              <w:spacing w:after="0" w:line="252" w:lineRule="auto"/>
            </w:pPr>
            <w:r>
              <w:rPr>
                <w:rFonts w:ascii="Calibri" w:hAnsi="Calibri"/>
                <w:b w:val="0"/>
                <w:i w:val="0"/>
                <w:sz w:val="18"/>
              </w:rPr>
              <w:t>Device</w:t>
            </w:r>
          </w:p>
        </w:tc>
        <w:tc>
          <w:tcPr>
            <w:tcW w:type="dxa" w:w="3780"/>
            <w:shd w:fill="FAFBFC"/>
            <w:vAlign w:val="center"/>
            <w:tcMar>
              <w:top w:w="80" w:type="dxa"/>
              <w:start w:w="120" w:type="dxa"/>
              <w:bottom w:w="80" w:type="dxa"/>
              <w:end w:w="120" w:type="dxa"/>
            </w:tcMar>
          </w:tcPr>
          <w:p>
            <w:pPr>
              <w:spacing w:after="0" w:line="252" w:lineRule="auto"/>
            </w:pPr>
            <w:r>
              <w:rPr>
                <w:rFonts w:ascii="Calibri" w:hAnsi="Calibri"/>
                <w:b w:val="0"/>
                <w:i w:val="0"/>
                <w:sz w:val="18"/>
              </w:rPr>
              <w:t>Local Apple MPS</w:t>
            </w:r>
          </w:p>
        </w:tc>
        <w:tc>
          <w:tcPr>
            <w:tcW w:type="dxa" w:w="3780"/>
            <w:shd w:fill="FAFBFC"/>
            <w:vAlign w:val="center"/>
            <w:tcMar>
              <w:top w:w="80" w:type="dxa"/>
              <w:start w:w="120" w:type="dxa"/>
              <w:bottom w:w="80" w:type="dxa"/>
              <w:end w:w="120" w:type="dxa"/>
            </w:tcMar>
          </w:tcPr>
          <w:p>
            <w:pPr>
              <w:spacing w:after="0" w:line="252" w:lineRule="auto"/>
            </w:pPr>
            <w:r>
              <w:rPr>
                <w:rFonts w:ascii="Calibri" w:hAnsi="Calibri"/>
                <w:b w:val="0"/>
                <w:i w:val="0"/>
                <w:sz w:val="18"/>
              </w:rPr>
              <w:t>Benchmark CPU/MPS locally; school GPU for formal runs</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i w:val="0"/>
                <w:sz w:val="18"/>
              </w:rPr>
              <w:t>Purpose</w:t>
            </w:r>
          </w:p>
        </w:tc>
        <w:tc>
          <w:tcPr>
            <w:tcW w:type="dxa" w:w="3780"/>
            <w:vAlign w:val="center"/>
            <w:tcMar>
              <w:top w:w="80" w:type="dxa"/>
              <w:start w:w="120" w:type="dxa"/>
              <w:bottom w:w="80" w:type="dxa"/>
              <w:end w:w="120" w:type="dxa"/>
            </w:tcMar>
          </w:tcPr>
          <w:p>
            <w:pPr>
              <w:spacing w:after="0" w:line="252" w:lineRule="auto"/>
            </w:pPr>
            <w:r>
              <w:rPr>
                <w:rFonts w:ascii="Calibri" w:hAnsi="Calibri"/>
                <w:b w:val="0"/>
                <w:i w:val="0"/>
                <w:sz w:val="18"/>
              </w:rPr>
              <w:t>Correctness, stability and timing</w:t>
            </w:r>
          </w:p>
        </w:tc>
        <w:tc>
          <w:tcPr>
            <w:tcW w:type="dxa" w:w="3780"/>
            <w:vAlign w:val="center"/>
            <w:tcMar>
              <w:top w:w="80" w:type="dxa"/>
              <w:start w:w="120" w:type="dxa"/>
              <w:bottom w:w="80" w:type="dxa"/>
              <w:end w:w="120" w:type="dxa"/>
            </w:tcMar>
          </w:tcPr>
          <w:p>
            <w:pPr>
              <w:spacing w:after="0" w:line="252" w:lineRule="auto"/>
            </w:pPr>
            <w:r>
              <w:rPr>
                <w:rFonts w:ascii="Calibri" w:hAnsi="Calibri"/>
                <w:b w:val="0"/>
                <w:i w:val="0"/>
                <w:sz w:val="18"/>
              </w:rPr>
              <w:t>Statistical method comparison</w:t>
            </w:r>
          </w:p>
        </w:tc>
      </w:tr>
    </w:tbl>
    <w:p>
      <w:pPr>
        <w:spacing w:after="0"/>
      </w:pPr>
    </w:p>
    <w:p>
      <w:pPr>
        <w:spacing w:after="120" w:line="264" w:lineRule="auto"/>
      </w:pPr>
      <w:r>
        <w:rPr>
          <w:rFonts w:ascii="Calibri" w:hAnsi="Calibri"/>
          <w:b/>
          <w:i w:val="0"/>
          <w:sz w:val="22"/>
        </w:rPr>
        <w:t>Pilot status (23 July 2026):</w:t>
      </w:r>
      <w:r>
        <w:rPr>
          <w:rFonts w:ascii="Calibri" w:hAnsi="Calibri"/>
          <w:b w:val="0"/>
          <w:i w:val="0"/>
          <w:sz w:val="22"/>
        </w:rPr>
      </w:r>
    </w:p>
    <w:p>
      <w:pPr>
        <w:pStyle w:val="ListBullet"/>
        <w:spacing w:after="80" w:line="259" w:lineRule="auto"/>
      </w:pPr>
      <w:r>
        <w:rPr>
          <w:rFonts w:ascii="Calibri" w:hAnsi="Calibri"/>
          <w:b w:val="0"/>
          <w:i w:val="0"/>
          <w:sz w:val="22"/>
        </w:rPr>
        <w:t>hammer-v3 completed: 500k steps, stochastic success 1.00, average return 1652.71, approximately 4 h 12 min.</w:t>
      </w:r>
    </w:p>
    <w:p>
      <w:pPr>
        <w:pStyle w:val="ListBullet"/>
        <w:spacing w:after="80" w:line="259" w:lineRule="auto"/>
      </w:pPr>
      <w:r>
        <w:rPr>
          <w:rFonts w:ascii="Calibri" w:hAnsi="Calibri"/>
          <w:b w:val="0"/>
          <w:i w:val="0"/>
          <w:sz w:val="22"/>
        </w:rPr>
        <w:t>push-wall-v3 is currently training; remaining pilot tasks have not started.</w:t>
      </w:r>
    </w:p>
    <w:p>
      <w:pPr>
        <w:pStyle w:val="ListBullet"/>
        <w:spacing w:after="80" w:line="259" w:lineRule="auto"/>
      </w:pPr>
      <w:r>
        <w:rPr>
          <w:rFonts w:ascii="Calibri" w:hAnsi="Calibri"/>
          <w:b w:val="0"/>
          <w:i w:val="0"/>
          <w:sz w:val="22"/>
        </w:rPr>
        <w:t>Observed MPS throughput is likely slower than CPU for this small-network, high-frequency SAC workload; a controlled CPU-versus-MPS timing benchmark is planned.</w:t>
      </w:r>
    </w:p>
    <w:p>
      <w:pPr>
        <w:spacing w:after="120" w:line="264" w:lineRule="auto"/>
      </w:pPr>
      <w:r>
        <w:rPr>
          <w:rFonts w:ascii="Calibri" w:hAnsi="Calibri"/>
          <w:b/>
          <w:i w:val="0"/>
          <w:sz w:val="22"/>
        </w:rPr>
        <w:t>Pilot outputs must not be used as final paper results</w:t>
      </w:r>
      <w:r>
        <w:rPr>
          <w:rFonts w:ascii="Calibri" w:hAnsi="Calibri"/>
          <w:b w:val="0"/>
          <w:i w:val="0"/>
          <w:sz w:val="22"/>
        </w:rPr>
        <w:t xml:space="preserve"> because task count, training budget, seed count and evaluation protocol differ from the formal design.</w:t>
      </w:r>
    </w:p>
    <w:p>
      <w:pPr>
        <w:pStyle w:val="Heading1"/>
      </w:pPr>
      <w:r>
        <w:t>6. Formal Experiment Plan</w:t>
      </w:r>
    </w:p>
    <w:tbl>
      <w:tblPr>
        <w:tblStyle w:val="TableGrid"/>
        <w:tblW w:type="dxa" w:w="9360"/>
        <w:jc w:val="left"/>
        <w:tblLayout w:type="fixed"/>
        <w:tblLook w:firstColumn="1" w:firstRow="1" w:lastColumn="0" w:lastRow="0" w:noHBand="0" w:noVBand="1" w:val="04A0"/>
        <w:tblInd w:w="120" w:type="dxa"/>
      </w:tblPr>
      <w:tblGrid>
        <w:gridCol w:w="780"/>
        <w:gridCol w:w="2250"/>
        <w:gridCol w:w="6330"/>
      </w:tblGrid>
      <w:tr>
        <w:tc>
          <w:tcPr>
            <w:tcW w:type="dxa" w:w="780"/>
            <w:shd w:fill="E8EEF5"/>
            <w:vAlign w:val="center"/>
            <w:tcMar>
              <w:top w:w="80" w:type="dxa"/>
              <w:start w:w="120" w:type="dxa"/>
              <w:bottom w:w="80" w:type="dxa"/>
              <w:end w:w="120" w:type="dxa"/>
            </w:tcMar>
          </w:tcPr>
          <w:p>
            <w:pPr>
              <w:spacing w:after="0"/>
            </w:pPr>
            <w:r>
              <w:rPr>
                <w:rFonts w:ascii="Calibri" w:hAnsi="Calibri"/>
                <w:b/>
                <w:i w:val="0"/>
                <w:color w:val="1F4D78"/>
                <w:sz w:val="19"/>
              </w:rPr>
              <w:t>Phase</w:t>
            </w:r>
          </w:p>
        </w:tc>
        <w:tc>
          <w:tcPr>
            <w:tcW w:type="dxa" w:w="2250"/>
            <w:shd w:fill="E8EEF5"/>
            <w:vAlign w:val="center"/>
            <w:tcMar>
              <w:top w:w="80" w:type="dxa"/>
              <w:start w:w="120" w:type="dxa"/>
              <w:bottom w:w="80" w:type="dxa"/>
              <w:end w:w="120" w:type="dxa"/>
            </w:tcMar>
          </w:tcPr>
          <w:p>
            <w:pPr>
              <w:spacing w:after="0"/>
            </w:pPr>
            <w:r>
              <w:rPr>
                <w:rFonts w:ascii="Calibri" w:hAnsi="Calibri"/>
                <w:b/>
                <w:i w:val="0"/>
                <w:color w:val="1F4D78"/>
                <w:sz w:val="19"/>
              </w:rPr>
              <w:t>Workstream</w:t>
            </w:r>
          </w:p>
        </w:tc>
        <w:tc>
          <w:tcPr>
            <w:tcW w:type="dxa" w:w="6330"/>
            <w:shd w:fill="E8EEF5"/>
            <w:vAlign w:val="center"/>
            <w:tcMar>
              <w:top w:w="80" w:type="dxa"/>
              <w:start w:w="120" w:type="dxa"/>
              <w:bottom w:w="80" w:type="dxa"/>
              <w:end w:w="120" w:type="dxa"/>
            </w:tcMar>
          </w:tcPr>
          <w:p>
            <w:pPr>
              <w:spacing w:after="0"/>
            </w:pPr>
            <w:r>
              <w:rPr>
                <w:rFonts w:ascii="Calibri" w:hAnsi="Calibri"/>
                <w:b/>
                <w:i w:val="0"/>
                <w:color w:val="1F4D78"/>
                <w:sz w:val="19"/>
              </w:rPr>
              <w:t>Acceptance criterion</w:t>
            </w:r>
          </w:p>
        </w:tc>
      </w:tr>
      <w:tr>
        <w:tc>
          <w:tcPr>
            <w:tcW w:type="dxa" w:w="780"/>
            <w:shd w:fill="FAFBFC"/>
            <w:vAlign w:val="center"/>
            <w:tcMar>
              <w:top w:w="80" w:type="dxa"/>
              <w:start w:w="120" w:type="dxa"/>
              <w:bottom w:w="80" w:type="dxa"/>
              <w:end w:w="120" w:type="dxa"/>
            </w:tcMar>
          </w:tcPr>
          <w:p>
            <w:pPr>
              <w:spacing w:after="0" w:line="252" w:lineRule="auto"/>
            </w:pPr>
            <w:r>
              <w:rPr>
                <w:rFonts w:ascii="Calibri" w:hAnsi="Calibri"/>
                <w:b w:val="0"/>
                <w:i w:val="0"/>
                <w:sz w:val="18"/>
              </w:rPr>
              <w:t>1</w:t>
            </w:r>
          </w:p>
        </w:tc>
        <w:tc>
          <w:tcPr>
            <w:tcW w:type="dxa" w:w="2250"/>
            <w:shd w:fill="FAFBFC"/>
            <w:vAlign w:val="center"/>
            <w:tcMar>
              <w:top w:w="80" w:type="dxa"/>
              <w:start w:w="120" w:type="dxa"/>
              <w:bottom w:w="80" w:type="dxa"/>
              <w:end w:w="120" w:type="dxa"/>
            </w:tcMar>
          </w:tcPr>
          <w:p>
            <w:pPr>
              <w:spacing w:after="0" w:line="252" w:lineRule="auto"/>
            </w:pPr>
            <w:r>
              <w:rPr>
                <w:rFonts w:ascii="Calibri" w:hAnsi="Calibri"/>
                <w:b w:val="0"/>
                <w:i w:val="0"/>
                <w:sz w:val="18"/>
              </w:rPr>
              <w:t>Complete pilot</w:t>
            </w:r>
          </w:p>
        </w:tc>
        <w:tc>
          <w:tcPr>
            <w:tcW w:type="dxa" w:w="6330"/>
            <w:shd w:fill="FAFBFC"/>
            <w:vAlign w:val="center"/>
            <w:tcMar>
              <w:top w:w="80" w:type="dxa"/>
              <w:start w:w="120" w:type="dxa"/>
              <w:bottom w:w="80" w:type="dxa"/>
              <w:end w:w="120" w:type="dxa"/>
            </w:tcMar>
          </w:tcPr>
          <w:p>
            <w:pPr>
              <w:spacing w:after="0" w:line="252" w:lineRule="auto"/>
            </w:pPr>
            <w:r>
              <w:rPr>
                <w:rFonts w:ascii="Calibri" w:hAnsi="Calibri"/>
                <w:b w:val="0"/>
                <w:i w:val="0"/>
                <w:sz w:val="18"/>
              </w:rPr>
              <w:t>Finish CW5 baseline; validate artifacts and aggregate curves.</w:t>
            </w:r>
          </w:p>
        </w:tc>
      </w:tr>
      <w:tr>
        <w:tc>
          <w:tcPr>
            <w:tcW w:type="dxa" w:w="780"/>
            <w:vAlign w:val="center"/>
            <w:tcMar>
              <w:top w:w="80" w:type="dxa"/>
              <w:start w:w="120" w:type="dxa"/>
              <w:bottom w:w="80" w:type="dxa"/>
              <w:end w:w="120" w:type="dxa"/>
            </w:tcMar>
          </w:tcPr>
          <w:p>
            <w:pPr>
              <w:spacing w:after="0" w:line="252" w:lineRule="auto"/>
            </w:pPr>
            <w:r>
              <w:rPr>
                <w:rFonts w:ascii="Calibri" w:hAnsi="Calibri"/>
                <w:b w:val="0"/>
                <w:i w:val="0"/>
                <w:sz w:val="18"/>
              </w:rPr>
              <w:t>2</w:t>
            </w:r>
          </w:p>
        </w:tc>
        <w:tc>
          <w:tcPr>
            <w:tcW w:type="dxa" w:w="2250"/>
            <w:vAlign w:val="center"/>
            <w:tcMar>
              <w:top w:w="80" w:type="dxa"/>
              <w:start w:w="120" w:type="dxa"/>
              <w:bottom w:w="80" w:type="dxa"/>
              <w:end w:w="120" w:type="dxa"/>
            </w:tcMar>
          </w:tcPr>
          <w:p>
            <w:pPr>
              <w:spacing w:after="0" w:line="252" w:lineRule="auto"/>
            </w:pPr>
            <w:r>
              <w:rPr>
                <w:rFonts w:ascii="Calibri" w:hAnsi="Calibri"/>
                <w:b w:val="0"/>
                <w:i w:val="0"/>
                <w:sz w:val="18"/>
              </w:rPr>
              <w:t>Runtime benchmark</w:t>
            </w:r>
          </w:p>
        </w:tc>
        <w:tc>
          <w:tcPr>
            <w:tcW w:type="dxa" w:w="6330"/>
            <w:vAlign w:val="center"/>
            <w:tcMar>
              <w:top w:w="80" w:type="dxa"/>
              <w:start w:w="120" w:type="dxa"/>
              <w:bottom w:w="80" w:type="dxa"/>
              <w:end w:w="120" w:type="dxa"/>
            </w:tcMar>
          </w:tcPr>
          <w:p>
            <w:pPr>
              <w:spacing w:after="0" w:line="252" w:lineRule="auto"/>
            </w:pPr>
            <w:r>
              <w:rPr>
                <w:rFonts w:ascii="Calibri" w:hAnsi="Calibri"/>
                <w:b w:val="0"/>
                <w:i w:val="0"/>
                <w:sz w:val="18"/>
              </w:rPr>
              <w:t>Compare CPU and MPS with identical short runs; select formal compute path.</w:t>
            </w:r>
          </w:p>
        </w:tc>
      </w:tr>
      <w:tr>
        <w:tc>
          <w:tcPr>
            <w:tcW w:type="dxa" w:w="780"/>
            <w:shd w:fill="FAFBFC"/>
            <w:vAlign w:val="center"/>
            <w:tcMar>
              <w:top w:w="80" w:type="dxa"/>
              <w:start w:w="120" w:type="dxa"/>
              <w:bottom w:w="80" w:type="dxa"/>
              <w:end w:w="120" w:type="dxa"/>
            </w:tcMar>
          </w:tcPr>
          <w:p>
            <w:pPr>
              <w:spacing w:after="0" w:line="252" w:lineRule="auto"/>
            </w:pPr>
            <w:r>
              <w:rPr>
                <w:rFonts w:ascii="Calibri" w:hAnsi="Calibri"/>
                <w:b w:val="0"/>
                <w:i w:val="0"/>
                <w:sz w:val="18"/>
              </w:rPr>
              <w:t>3</w:t>
            </w:r>
          </w:p>
        </w:tc>
        <w:tc>
          <w:tcPr>
            <w:tcW w:type="dxa" w:w="2250"/>
            <w:shd w:fill="FAFBFC"/>
            <w:vAlign w:val="center"/>
            <w:tcMar>
              <w:top w:w="80" w:type="dxa"/>
              <w:start w:w="120" w:type="dxa"/>
              <w:bottom w:w="80" w:type="dxa"/>
              <w:end w:w="120" w:type="dxa"/>
            </w:tcMar>
          </w:tcPr>
          <w:p>
            <w:pPr>
              <w:spacing w:after="0" w:line="252" w:lineRule="auto"/>
            </w:pPr>
            <w:r>
              <w:rPr>
                <w:rFonts w:ascii="Calibri" w:hAnsi="Calibri"/>
                <w:b w:val="0"/>
                <w:i w:val="0"/>
                <w:sz w:val="18"/>
              </w:rPr>
              <w:t>Metric refactor</w:t>
            </w:r>
          </w:p>
        </w:tc>
        <w:tc>
          <w:tcPr>
            <w:tcW w:type="dxa" w:w="6330"/>
            <w:shd w:fill="FAFBFC"/>
            <w:vAlign w:val="center"/>
            <w:tcMar>
              <w:top w:w="80" w:type="dxa"/>
              <w:start w:w="120" w:type="dxa"/>
              <w:bottom w:w="80" w:type="dxa"/>
              <w:end w:w="120" w:type="dxa"/>
            </w:tcMar>
          </w:tcPr>
          <w:p>
            <w:pPr>
              <w:spacing w:after="0" w:line="252" w:lineRule="auto"/>
            </w:pPr>
            <w:r>
              <w:rPr>
                <w:rFonts w:ascii="Calibri" w:hAnsi="Calibri"/>
                <w:b w:val="0"/>
                <w:i w:val="0"/>
                <w:sz w:val="18"/>
              </w:rPr>
              <w:t>Store mixed-policy curves for JSRL FT; keep h=0 task-end/final metrics.</w:t>
            </w:r>
          </w:p>
        </w:tc>
      </w:tr>
      <w:tr>
        <w:tc>
          <w:tcPr>
            <w:tcW w:type="dxa" w:w="780"/>
            <w:vAlign w:val="center"/>
            <w:tcMar>
              <w:top w:w="80" w:type="dxa"/>
              <w:start w:w="120" w:type="dxa"/>
              <w:bottom w:w="80" w:type="dxa"/>
              <w:end w:w="120" w:type="dxa"/>
            </w:tcMar>
          </w:tcPr>
          <w:p>
            <w:pPr>
              <w:spacing w:after="0" w:line="252" w:lineRule="auto"/>
            </w:pPr>
            <w:r>
              <w:rPr>
                <w:rFonts w:ascii="Calibri" w:hAnsi="Calibri"/>
                <w:b w:val="0"/>
                <w:i w:val="0"/>
                <w:sz w:val="18"/>
              </w:rPr>
              <w:t>4</w:t>
            </w:r>
          </w:p>
        </w:tc>
        <w:tc>
          <w:tcPr>
            <w:tcW w:type="dxa" w:w="2250"/>
            <w:vAlign w:val="center"/>
            <w:tcMar>
              <w:top w:w="80" w:type="dxa"/>
              <w:start w:w="120" w:type="dxa"/>
              <w:bottom w:w="80" w:type="dxa"/>
              <w:end w:w="120" w:type="dxa"/>
            </w:tcMar>
          </w:tcPr>
          <w:p>
            <w:pPr>
              <w:spacing w:after="0" w:line="252" w:lineRule="auto"/>
            </w:pPr>
            <w:r>
              <w:rPr>
                <w:rFonts w:ascii="Calibri" w:hAnsi="Calibri"/>
                <w:b w:val="0"/>
                <w:i w:val="0"/>
                <w:sz w:val="18"/>
              </w:rPr>
              <w:t>Method smoke tests</w:t>
            </w:r>
          </w:p>
        </w:tc>
        <w:tc>
          <w:tcPr>
            <w:tcW w:type="dxa" w:w="6330"/>
            <w:vAlign w:val="center"/>
            <w:tcMar>
              <w:top w:w="80" w:type="dxa"/>
              <w:start w:w="120" w:type="dxa"/>
              <w:bottom w:w="80" w:type="dxa"/>
              <w:end w:w="120" w:type="dxa"/>
            </w:tcMar>
          </w:tcPr>
          <w:p>
            <w:pPr>
              <w:spacing w:after="0" w:line="252" w:lineRule="auto"/>
            </w:pPr>
            <w:r>
              <w:rPr>
                <w:rFonts w:ascii="Calibri" w:hAnsi="Calibri"/>
                <w:b w:val="0"/>
                <w:i w:val="0"/>
                <w:sz w:val="18"/>
              </w:rPr>
              <w:t>Run CW10 1k/task for every baseline; verify task changes and checkpoints.</w:t>
            </w:r>
          </w:p>
        </w:tc>
      </w:tr>
      <w:tr>
        <w:tc>
          <w:tcPr>
            <w:tcW w:type="dxa" w:w="780"/>
            <w:shd w:fill="FAFBFC"/>
            <w:vAlign w:val="center"/>
            <w:tcMar>
              <w:top w:w="80" w:type="dxa"/>
              <w:start w:w="120" w:type="dxa"/>
              <w:bottom w:w="80" w:type="dxa"/>
              <w:end w:w="120" w:type="dxa"/>
            </w:tcMar>
          </w:tcPr>
          <w:p>
            <w:pPr>
              <w:spacing w:after="0" w:line="252" w:lineRule="auto"/>
            </w:pPr>
            <w:r>
              <w:rPr>
                <w:rFonts w:ascii="Calibri" w:hAnsi="Calibri"/>
                <w:b w:val="0"/>
                <w:i w:val="0"/>
                <w:sz w:val="18"/>
              </w:rPr>
              <w:t>5</w:t>
            </w:r>
          </w:p>
        </w:tc>
        <w:tc>
          <w:tcPr>
            <w:tcW w:type="dxa" w:w="2250"/>
            <w:shd w:fill="FAFBFC"/>
            <w:vAlign w:val="center"/>
            <w:tcMar>
              <w:top w:w="80" w:type="dxa"/>
              <w:start w:w="120" w:type="dxa"/>
              <w:bottom w:w="80" w:type="dxa"/>
              <w:end w:w="120" w:type="dxa"/>
            </w:tcMar>
          </w:tcPr>
          <w:p>
            <w:pPr>
              <w:spacing w:after="0" w:line="252" w:lineRule="auto"/>
            </w:pPr>
            <w:r>
              <w:rPr>
                <w:rFonts w:ascii="Calibri" w:hAnsi="Calibri"/>
                <w:b w:val="0"/>
                <w:i w:val="0"/>
                <w:sz w:val="18"/>
              </w:rPr>
              <w:t>Single-task references</w:t>
            </w:r>
          </w:p>
        </w:tc>
        <w:tc>
          <w:tcPr>
            <w:tcW w:type="dxa" w:w="6330"/>
            <w:shd w:fill="FAFBFC"/>
            <w:vAlign w:val="center"/>
            <w:tcMar>
              <w:top w:w="80" w:type="dxa"/>
              <w:start w:w="120" w:type="dxa"/>
              <w:bottom w:w="80" w:type="dxa"/>
              <w:end w:w="120" w:type="dxa"/>
            </w:tcMar>
          </w:tcPr>
          <w:p>
            <w:pPr>
              <w:spacing w:after="0" w:line="252" w:lineRule="auto"/>
            </w:pPr>
            <w:r>
              <w:rPr>
                <w:rFonts w:ascii="Calibri" w:hAnsi="Calibri"/>
                <w:b w:val="0"/>
                <w:i w:val="0"/>
                <w:sz w:val="18"/>
              </w:rPr>
              <w:t>Run CW10 single-task SAC at 1M/task for all formal seeds.</w:t>
            </w:r>
          </w:p>
        </w:tc>
      </w:tr>
      <w:tr>
        <w:tc>
          <w:tcPr>
            <w:tcW w:type="dxa" w:w="780"/>
            <w:vAlign w:val="center"/>
            <w:tcMar>
              <w:top w:w="80" w:type="dxa"/>
              <w:start w:w="120" w:type="dxa"/>
              <w:bottom w:w="80" w:type="dxa"/>
              <w:end w:w="120" w:type="dxa"/>
            </w:tcMar>
          </w:tcPr>
          <w:p>
            <w:pPr>
              <w:spacing w:after="0" w:line="252" w:lineRule="auto"/>
            </w:pPr>
            <w:r>
              <w:rPr>
                <w:rFonts w:ascii="Calibri" w:hAnsi="Calibri"/>
                <w:b w:val="0"/>
                <w:i w:val="0"/>
                <w:sz w:val="18"/>
              </w:rPr>
              <w:t>6</w:t>
            </w:r>
          </w:p>
        </w:tc>
        <w:tc>
          <w:tcPr>
            <w:tcW w:type="dxa" w:w="2250"/>
            <w:vAlign w:val="center"/>
            <w:tcMar>
              <w:top w:w="80" w:type="dxa"/>
              <w:start w:w="120" w:type="dxa"/>
              <w:bottom w:w="80" w:type="dxa"/>
              <w:end w:w="120" w:type="dxa"/>
            </w:tcMar>
          </w:tcPr>
          <w:p>
            <w:pPr>
              <w:spacing w:after="0" w:line="252" w:lineRule="auto"/>
            </w:pPr>
            <w:r>
              <w:rPr>
                <w:rFonts w:ascii="Calibri" w:hAnsi="Calibri"/>
                <w:b w:val="0"/>
                <w:i w:val="0"/>
                <w:sz w:val="18"/>
              </w:rPr>
              <w:t>Formal baselines</w:t>
            </w:r>
          </w:p>
        </w:tc>
        <w:tc>
          <w:tcPr>
            <w:tcW w:type="dxa" w:w="6330"/>
            <w:vAlign w:val="center"/>
            <w:tcMar>
              <w:top w:w="80" w:type="dxa"/>
              <w:start w:w="120" w:type="dxa"/>
              <w:bottom w:w="80" w:type="dxa"/>
              <w:end w:w="120" w:type="dxa"/>
            </w:tcMar>
          </w:tcPr>
          <w:p>
            <w:pPr>
              <w:spacing w:after="0" w:line="252" w:lineRule="auto"/>
            </w:pPr>
            <w:r>
              <w:rPr>
                <w:rFonts w:ascii="Calibri" w:hAnsi="Calibri"/>
                <w:b w:val="0"/>
                <w:i w:val="0"/>
                <w:sz w:val="18"/>
              </w:rPr>
              <w:t>Run fine-tuning, task-conditioned, PackNet, ClonEx-SAC and WSRL under the same protocol.</w:t>
            </w:r>
          </w:p>
        </w:tc>
      </w:tr>
      <w:tr>
        <w:tc>
          <w:tcPr>
            <w:tcW w:type="dxa" w:w="780"/>
            <w:shd w:fill="FAFBFC"/>
            <w:vAlign w:val="center"/>
            <w:tcMar>
              <w:top w:w="80" w:type="dxa"/>
              <w:start w:w="120" w:type="dxa"/>
              <w:bottom w:w="80" w:type="dxa"/>
              <w:end w:w="120" w:type="dxa"/>
            </w:tcMar>
          </w:tcPr>
          <w:p>
            <w:pPr>
              <w:spacing w:after="0" w:line="252" w:lineRule="auto"/>
            </w:pPr>
            <w:r>
              <w:rPr>
                <w:rFonts w:ascii="Calibri" w:hAnsi="Calibri"/>
                <w:b w:val="0"/>
                <w:i w:val="0"/>
                <w:sz w:val="18"/>
              </w:rPr>
              <w:t>7</w:t>
            </w:r>
          </w:p>
        </w:tc>
        <w:tc>
          <w:tcPr>
            <w:tcW w:type="dxa" w:w="2250"/>
            <w:shd w:fill="FAFBFC"/>
            <w:vAlign w:val="center"/>
            <w:tcMar>
              <w:top w:w="80" w:type="dxa"/>
              <w:start w:w="120" w:type="dxa"/>
              <w:bottom w:w="80" w:type="dxa"/>
              <w:end w:w="120" w:type="dxa"/>
            </w:tcMar>
          </w:tcPr>
          <w:p>
            <w:pPr>
              <w:spacing w:after="0" w:line="252" w:lineRule="auto"/>
            </w:pPr>
            <w:r>
              <w:rPr>
                <w:rFonts w:ascii="Calibri" w:hAnsi="Calibri"/>
                <w:b w:val="0"/>
                <w:i w:val="0"/>
                <w:sz w:val="18"/>
              </w:rPr>
              <w:t>Transfer study</w:t>
            </w:r>
          </w:p>
        </w:tc>
        <w:tc>
          <w:tcPr>
            <w:tcW w:type="dxa" w:w="6330"/>
            <w:shd w:fill="FAFBFC"/>
            <w:vAlign w:val="center"/>
            <w:tcMar>
              <w:top w:w="80" w:type="dxa"/>
              <w:start w:w="120" w:type="dxa"/>
              <w:bottom w:w="80" w:type="dxa"/>
              <w:end w:w="120" w:type="dxa"/>
            </w:tcMar>
          </w:tcPr>
          <w:p>
            <w:pPr>
              <w:spacing w:after="0" w:line="252" w:lineRule="auto"/>
            </w:pPr>
            <w:r>
              <w:rPr>
                <w:rFonts w:ascii="Calibri" w:hAnsi="Calibri"/>
                <w:b w:val="0"/>
                <w:i w:val="0"/>
                <w:sz w:val="18"/>
              </w:rPr>
              <w:t>Compare WSRL and JSRL variants under identical seeds, task order and evaluation budget.</w:t>
            </w:r>
          </w:p>
        </w:tc>
      </w:tr>
      <w:tr>
        <w:tc>
          <w:tcPr>
            <w:tcW w:type="dxa" w:w="780"/>
            <w:vAlign w:val="center"/>
            <w:tcMar>
              <w:top w:w="80" w:type="dxa"/>
              <w:start w:w="120" w:type="dxa"/>
              <w:bottom w:w="80" w:type="dxa"/>
              <w:end w:w="120" w:type="dxa"/>
            </w:tcMar>
          </w:tcPr>
          <w:p>
            <w:pPr>
              <w:spacing w:after="0" w:line="252" w:lineRule="auto"/>
            </w:pPr>
            <w:r>
              <w:rPr>
                <w:rFonts w:ascii="Calibri" w:hAnsi="Calibri"/>
                <w:b w:val="0"/>
                <w:i w:val="0"/>
                <w:sz w:val="18"/>
              </w:rPr>
              <w:t>8</w:t>
            </w:r>
          </w:p>
        </w:tc>
        <w:tc>
          <w:tcPr>
            <w:tcW w:type="dxa" w:w="2250"/>
            <w:vAlign w:val="center"/>
            <w:tcMar>
              <w:top w:w="80" w:type="dxa"/>
              <w:start w:w="120" w:type="dxa"/>
              <w:bottom w:w="80" w:type="dxa"/>
              <w:end w:w="120" w:type="dxa"/>
            </w:tcMar>
          </w:tcPr>
          <w:p>
            <w:pPr>
              <w:spacing w:after="0" w:line="252" w:lineRule="auto"/>
            </w:pPr>
            <w:r>
              <w:rPr>
                <w:rFonts w:ascii="Calibri" w:hAnsi="Calibri"/>
                <w:b w:val="0"/>
                <w:i w:val="0"/>
                <w:sz w:val="18"/>
              </w:rPr>
              <w:t>Forgetting study</w:t>
            </w:r>
          </w:p>
        </w:tc>
        <w:tc>
          <w:tcPr>
            <w:tcW w:type="dxa" w:w="6330"/>
            <w:vAlign w:val="center"/>
            <w:tcMar>
              <w:top w:w="80" w:type="dxa"/>
              <w:start w:w="120" w:type="dxa"/>
              <w:bottom w:w="80" w:type="dxa"/>
              <w:end w:w="120" w:type="dxa"/>
            </w:tcMar>
          </w:tcPr>
          <w:p>
            <w:pPr>
              <w:spacing w:after="0" w:line="252" w:lineRule="auto"/>
            </w:pPr>
            <w:r>
              <w:rPr>
                <w:rFonts w:ascii="Calibri" w:hAnsi="Calibri"/>
                <w:b w:val="0"/>
                <w:i w:val="0"/>
                <w:sz w:val="18"/>
              </w:rPr>
              <w:t>Compare fine-tuning, one-hot task conditioning and richer task embeddings if warranted.</w:t>
            </w:r>
          </w:p>
        </w:tc>
      </w:tr>
      <w:tr>
        <w:tc>
          <w:tcPr>
            <w:tcW w:type="dxa" w:w="780"/>
            <w:shd w:fill="FAFBFC"/>
            <w:vAlign w:val="center"/>
            <w:tcMar>
              <w:top w:w="80" w:type="dxa"/>
              <w:start w:w="120" w:type="dxa"/>
              <w:bottom w:w="80" w:type="dxa"/>
              <w:end w:w="120" w:type="dxa"/>
            </w:tcMar>
          </w:tcPr>
          <w:p>
            <w:pPr>
              <w:spacing w:after="0" w:line="252" w:lineRule="auto"/>
            </w:pPr>
            <w:r>
              <w:rPr>
                <w:rFonts w:ascii="Calibri" w:hAnsi="Calibri"/>
                <w:b w:val="0"/>
                <w:i w:val="0"/>
                <w:sz w:val="18"/>
              </w:rPr>
              <w:t>9</w:t>
            </w:r>
          </w:p>
        </w:tc>
        <w:tc>
          <w:tcPr>
            <w:tcW w:type="dxa" w:w="2250"/>
            <w:shd w:fill="FAFBFC"/>
            <w:vAlign w:val="center"/>
            <w:tcMar>
              <w:top w:w="80" w:type="dxa"/>
              <w:start w:w="120" w:type="dxa"/>
              <w:bottom w:w="80" w:type="dxa"/>
              <w:end w:w="120" w:type="dxa"/>
            </w:tcMar>
          </w:tcPr>
          <w:p>
            <w:pPr>
              <w:spacing w:after="0" w:line="252" w:lineRule="auto"/>
            </w:pPr>
            <w:r>
              <w:rPr>
                <w:rFonts w:ascii="Calibri" w:hAnsi="Calibri"/>
                <w:b w:val="0"/>
                <w:i w:val="0"/>
                <w:sz w:val="18"/>
              </w:rPr>
              <w:t>Integration ablations</w:t>
            </w:r>
          </w:p>
        </w:tc>
        <w:tc>
          <w:tcPr>
            <w:tcW w:type="dxa" w:w="6330"/>
            <w:shd w:fill="FAFBFC"/>
            <w:vAlign w:val="center"/>
            <w:tcMar>
              <w:top w:w="80" w:type="dxa"/>
              <w:start w:w="120" w:type="dxa"/>
              <w:bottom w:w="80" w:type="dxa"/>
              <w:end w:w="120" w:type="dxa"/>
            </w:tcMar>
          </w:tcPr>
          <w:p>
            <w:pPr>
              <w:spacing w:after="0" w:line="252" w:lineRule="auto"/>
            </w:pPr>
            <w:r>
              <w:rPr>
                <w:rFonts w:ascii="Calibri" w:hAnsi="Calibri"/>
                <w:b w:val="0"/>
                <w:i w:val="0"/>
                <w:sz w:val="18"/>
              </w:rPr>
              <w:t>Test only evidence-supported combinations of transfer and forgetting components.</w:t>
            </w:r>
          </w:p>
        </w:tc>
      </w:tr>
      <w:tr>
        <w:tc>
          <w:tcPr>
            <w:tcW w:type="dxa" w:w="780"/>
            <w:vAlign w:val="center"/>
            <w:tcMar>
              <w:top w:w="80" w:type="dxa"/>
              <w:start w:w="120" w:type="dxa"/>
              <w:bottom w:w="80" w:type="dxa"/>
              <w:end w:w="120" w:type="dxa"/>
            </w:tcMar>
          </w:tcPr>
          <w:p>
            <w:pPr>
              <w:spacing w:after="0" w:line="252" w:lineRule="auto"/>
            </w:pPr>
            <w:r>
              <w:rPr>
                <w:rFonts w:ascii="Calibri" w:hAnsi="Calibri"/>
                <w:b w:val="0"/>
                <w:i w:val="0"/>
                <w:sz w:val="18"/>
              </w:rPr>
              <w:t>10</w:t>
            </w:r>
          </w:p>
        </w:tc>
        <w:tc>
          <w:tcPr>
            <w:tcW w:type="dxa" w:w="2250"/>
            <w:vAlign w:val="center"/>
            <w:tcMar>
              <w:top w:w="80" w:type="dxa"/>
              <w:start w:w="120" w:type="dxa"/>
              <w:bottom w:w="80" w:type="dxa"/>
              <w:end w:w="120" w:type="dxa"/>
            </w:tcMar>
          </w:tcPr>
          <w:p>
            <w:pPr>
              <w:spacing w:after="0" w:line="252" w:lineRule="auto"/>
            </w:pPr>
            <w:r>
              <w:rPr>
                <w:rFonts w:ascii="Calibri" w:hAnsi="Calibri"/>
                <w:b w:val="0"/>
                <w:i w:val="0"/>
                <w:sz w:val="18"/>
              </w:rPr>
              <w:t>Final method</w:t>
            </w:r>
          </w:p>
        </w:tc>
        <w:tc>
          <w:tcPr>
            <w:tcW w:type="dxa" w:w="6330"/>
            <w:vAlign w:val="center"/>
            <w:tcMar>
              <w:top w:w="80" w:type="dxa"/>
              <w:start w:w="120" w:type="dxa"/>
              <w:bottom w:w="80" w:type="dxa"/>
              <w:end w:w="120" w:type="dxa"/>
            </w:tcMar>
          </w:tcPr>
          <w:p>
            <w:pPr>
              <w:spacing w:after="0" w:line="252" w:lineRule="auto"/>
            </w:pPr>
            <w:r>
              <w:rPr>
                <w:rFonts w:ascii="Calibri" w:hAnsi="Calibri"/>
                <w:b w:val="0"/>
                <w:i w:val="0"/>
                <w:sz w:val="18"/>
              </w:rPr>
              <w:t>Freeze the final design and name after transfer, forgetting and interaction results.</w:t>
            </w:r>
          </w:p>
        </w:tc>
      </w:tr>
      <w:tr>
        <w:tc>
          <w:tcPr>
            <w:tcW w:type="dxa" w:w="780"/>
            <w:shd w:fill="FAFBFC"/>
            <w:vAlign w:val="center"/>
            <w:tcMar>
              <w:top w:w="80" w:type="dxa"/>
              <w:start w:w="120" w:type="dxa"/>
              <w:bottom w:w="80" w:type="dxa"/>
              <w:end w:w="120" w:type="dxa"/>
            </w:tcMar>
          </w:tcPr>
          <w:p>
            <w:pPr>
              <w:spacing w:after="0" w:line="252" w:lineRule="auto"/>
            </w:pPr>
            <w:r>
              <w:rPr>
                <w:rFonts w:ascii="Calibri" w:hAnsi="Calibri"/>
                <w:b w:val="0"/>
                <w:i w:val="0"/>
                <w:sz w:val="18"/>
              </w:rPr>
              <w:t>11</w:t>
            </w:r>
          </w:p>
        </w:tc>
        <w:tc>
          <w:tcPr>
            <w:tcW w:type="dxa" w:w="2250"/>
            <w:shd w:fill="FAFBFC"/>
            <w:vAlign w:val="center"/>
            <w:tcMar>
              <w:top w:w="80" w:type="dxa"/>
              <w:start w:w="120" w:type="dxa"/>
              <w:bottom w:w="80" w:type="dxa"/>
              <w:end w:w="120" w:type="dxa"/>
            </w:tcMar>
          </w:tcPr>
          <w:p>
            <w:pPr>
              <w:spacing w:after="0" w:line="252" w:lineRule="auto"/>
            </w:pPr>
            <w:r>
              <w:rPr>
                <w:rFonts w:ascii="Calibri" w:hAnsi="Calibri"/>
                <w:b w:val="0"/>
                <w:i w:val="0"/>
                <w:sz w:val="18"/>
              </w:rPr>
              <w:t>Analysis</w:t>
            </w:r>
          </w:p>
        </w:tc>
        <w:tc>
          <w:tcPr>
            <w:tcW w:type="dxa" w:w="6330"/>
            <w:shd w:fill="FAFBFC"/>
            <w:vAlign w:val="center"/>
            <w:tcMar>
              <w:top w:w="80" w:type="dxa"/>
              <w:start w:w="120" w:type="dxa"/>
              <w:bottom w:w="80" w:type="dxa"/>
              <w:end w:w="120" w:type="dxa"/>
            </w:tcMar>
          </w:tcPr>
          <w:p>
            <w:pPr>
              <w:spacing w:after="0" w:line="252" w:lineRule="auto"/>
            </w:pPr>
            <w:r>
              <w:rPr>
                <w:rFonts w:ascii="Calibri" w:hAnsi="Calibri"/>
                <w:b w:val="0"/>
                <w:i w:val="0"/>
                <w:sz w:val="18"/>
              </w:rPr>
              <w:t>Report mean and variation across seeds; AP, return, forgetting, FT and per-task curves.</w:t>
            </w:r>
          </w:p>
        </w:tc>
      </w:tr>
    </w:tbl>
    <w:p>
      <w:pPr>
        <w:spacing w:after="0"/>
      </w:pPr>
    </w:p>
    <w:p>
      <w:pPr>
        <w:pStyle w:val="Heading1"/>
      </w:pPr>
      <w:r>
        <w:t>7. Reference Papers and Code</w:t>
      </w:r>
    </w:p>
    <w:tbl>
      <w:tblPr>
        <w:tblStyle w:val="TableGrid"/>
        <w:tblW w:type="dxa" w:w="9360"/>
        <w:jc w:val="left"/>
        <w:tblLayout w:type="fixed"/>
        <w:tblLook w:firstColumn="1" w:firstRow="1" w:lastColumn="0" w:lastRow="0" w:noHBand="0" w:noVBand="1" w:val="04A0"/>
        <w:tblInd w:w="120" w:type="dxa"/>
      </w:tblPr>
      <w:tblGrid>
        <w:gridCol w:w="2150"/>
        <w:gridCol w:w="3670"/>
        <w:gridCol w:w="3540"/>
      </w:tblGrid>
      <w:tr>
        <w:tc>
          <w:tcPr>
            <w:tcW w:type="dxa" w:w="2150"/>
            <w:shd w:fill="E8EEF5"/>
            <w:vAlign w:val="center"/>
            <w:tcMar>
              <w:top w:w="80" w:type="dxa"/>
              <w:start w:w="120" w:type="dxa"/>
              <w:bottom w:w="80" w:type="dxa"/>
              <w:end w:w="120" w:type="dxa"/>
            </w:tcMar>
          </w:tcPr>
          <w:p>
            <w:pPr>
              <w:spacing w:after="0"/>
            </w:pPr>
            <w:r>
              <w:rPr>
                <w:rFonts w:ascii="Calibri" w:hAnsi="Calibri"/>
                <w:b/>
                <w:i w:val="0"/>
                <w:color w:val="1F4D78"/>
                <w:sz w:val="19"/>
              </w:rPr>
              <w:t>Reference</w:t>
            </w:r>
          </w:p>
        </w:tc>
        <w:tc>
          <w:tcPr>
            <w:tcW w:type="dxa" w:w="3670"/>
            <w:shd w:fill="E8EEF5"/>
            <w:vAlign w:val="center"/>
            <w:tcMar>
              <w:top w:w="80" w:type="dxa"/>
              <w:start w:w="120" w:type="dxa"/>
              <w:bottom w:w="80" w:type="dxa"/>
              <w:end w:w="120" w:type="dxa"/>
            </w:tcMar>
          </w:tcPr>
          <w:p>
            <w:pPr>
              <w:spacing w:after="0"/>
            </w:pPr>
            <w:r>
              <w:rPr>
                <w:rFonts w:ascii="Calibri" w:hAnsi="Calibri"/>
                <w:b/>
                <w:i w:val="0"/>
                <w:color w:val="1F4D78"/>
                <w:sz w:val="19"/>
              </w:rPr>
              <w:t>Use in this project</w:t>
            </w:r>
          </w:p>
        </w:tc>
        <w:tc>
          <w:tcPr>
            <w:tcW w:type="dxa" w:w="3540"/>
            <w:shd w:fill="E8EEF5"/>
            <w:vAlign w:val="center"/>
            <w:tcMar>
              <w:top w:w="80" w:type="dxa"/>
              <w:start w:w="120" w:type="dxa"/>
              <w:bottom w:w="80" w:type="dxa"/>
              <w:end w:w="120" w:type="dxa"/>
            </w:tcMar>
          </w:tcPr>
          <w:p>
            <w:pPr>
              <w:spacing w:after="0"/>
            </w:pPr>
            <w:r>
              <w:rPr>
                <w:rFonts w:ascii="Calibri" w:hAnsi="Calibri"/>
                <w:b/>
                <w:i w:val="0"/>
                <w:color w:val="1F4D78"/>
                <w:sz w:val="19"/>
              </w:rPr>
              <w:t>Local / official source</w:t>
            </w:r>
          </w:p>
        </w:tc>
      </w:tr>
      <w:tr>
        <w:tc>
          <w:tcPr>
            <w:tcW w:type="dxa" w:w="2150"/>
            <w:shd w:fill="FAFBFC"/>
            <w:vAlign w:val="center"/>
            <w:tcMar>
              <w:top w:w="80" w:type="dxa"/>
              <w:start w:w="120" w:type="dxa"/>
              <w:bottom w:w="80" w:type="dxa"/>
              <w:end w:w="120" w:type="dxa"/>
            </w:tcMar>
          </w:tcPr>
          <w:p>
            <w:pPr>
              <w:spacing w:after="0" w:line="252" w:lineRule="auto"/>
            </w:pPr>
            <w:r>
              <w:rPr>
                <w:rFonts w:ascii="Calibri" w:hAnsi="Calibri"/>
                <w:b w:val="0"/>
                <w:i w:val="0"/>
                <w:sz w:val="18"/>
              </w:rPr>
              <w:t>Continual World</w:t>
            </w:r>
          </w:p>
        </w:tc>
        <w:tc>
          <w:tcPr>
            <w:tcW w:type="dxa" w:w="3670"/>
            <w:shd w:fill="FAFBFC"/>
            <w:vAlign w:val="center"/>
            <w:tcMar>
              <w:top w:w="80" w:type="dxa"/>
              <w:start w:w="120" w:type="dxa"/>
              <w:bottom w:w="80" w:type="dxa"/>
              <w:end w:w="120" w:type="dxa"/>
            </w:tcMar>
          </w:tcPr>
          <w:p>
            <w:pPr>
              <w:spacing w:after="0" w:line="252" w:lineRule="auto"/>
            </w:pPr>
            <w:r>
              <w:rPr>
                <w:rFonts w:ascii="Calibri" w:hAnsi="Calibri"/>
                <w:b w:val="0"/>
                <w:i w:val="0"/>
                <w:sz w:val="18"/>
              </w:rPr>
              <w:t>Benchmark protocol and official single-task/continual evaluation definitions.</w:t>
            </w:r>
          </w:p>
        </w:tc>
        <w:tc>
          <w:tcPr>
            <w:tcW w:type="dxa" w:w="3540"/>
            <w:shd w:fill="FAFBFC"/>
            <w:vAlign w:val="center"/>
            <w:tcMar>
              <w:top w:w="80" w:type="dxa"/>
              <w:start w:w="120" w:type="dxa"/>
              <w:bottom w:w="80" w:type="dxa"/>
              <w:end w:w="120" w:type="dxa"/>
            </w:tcMar>
          </w:tcPr>
          <w:p>
            <w:pPr>
              <w:spacing w:after="0" w:line="252" w:lineRule="auto"/>
            </w:pPr>
            <w:r>
              <w:rPr>
                <w:rFonts w:ascii="Calibri" w:hAnsi="Calibri"/>
                <w:b w:val="0"/>
                <w:i w:val="0"/>
                <w:sz w:val="18"/>
              </w:rPr>
              <w:t>awarelab/continual_world</w:t>
            </w:r>
          </w:p>
        </w:tc>
      </w:tr>
      <w:tr>
        <w:tc>
          <w:tcPr>
            <w:tcW w:type="dxa" w:w="2150"/>
            <w:vAlign w:val="center"/>
            <w:tcMar>
              <w:top w:w="80" w:type="dxa"/>
              <w:start w:w="120" w:type="dxa"/>
              <w:bottom w:w="80" w:type="dxa"/>
              <w:end w:w="120" w:type="dxa"/>
            </w:tcMar>
          </w:tcPr>
          <w:p>
            <w:pPr>
              <w:spacing w:after="0" w:line="252" w:lineRule="auto"/>
            </w:pPr>
            <w:r>
              <w:rPr>
                <w:rFonts w:ascii="Calibri" w:hAnsi="Calibri"/>
                <w:b w:val="0"/>
                <w:i w:val="0"/>
                <w:sz w:val="18"/>
              </w:rPr>
              <w:t>Disentangling Transfer in CRL</w:t>
            </w:r>
          </w:p>
        </w:tc>
        <w:tc>
          <w:tcPr>
            <w:tcW w:type="dxa" w:w="3670"/>
            <w:vAlign w:val="center"/>
            <w:tcMar>
              <w:top w:w="80" w:type="dxa"/>
              <w:start w:w="120" w:type="dxa"/>
              <w:bottom w:w="80" w:type="dxa"/>
              <w:end w:w="120" w:type="dxa"/>
            </w:tcMar>
          </w:tcPr>
          <w:p>
            <w:pPr>
              <w:spacing w:after="0" w:line="252" w:lineRule="auto"/>
            </w:pPr>
            <w:r>
              <w:rPr>
                <w:rFonts w:ascii="Calibri" w:hAnsi="Calibri"/>
                <w:b w:val="0"/>
                <w:i w:val="0"/>
                <w:sz w:val="18"/>
              </w:rPr>
              <w:t>ClonEx-SAC paper, appendix and source implementation.</w:t>
            </w:r>
          </w:p>
        </w:tc>
        <w:tc>
          <w:tcPr>
            <w:tcW w:type="dxa" w:w="3540"/>
            <w:vAlign w:val="center"/>
            <w:tcMar>
              <w:top w:w="80" w:type="dxa"/>
              <w:start w:w="120" w:type="dxa"/>
              <w:bottom w:w="80" w:type="dxa"/>
              <w:end w:w="120" w:type="dxa"/>
            </w:tcMar>
          </w:tcPr>
          <w:p>
            <w:pPr>
              <w:spacing w:after="0" w:line="252" w:lineRule="auto"/>
            </w:pPr>
            <w:r>
              <w:rPr>
                <w:rFonts w:ascii="Calibri" w:hAnsi="Calibri"/>
                <w:b w:val="0"/>
                <w:i w:val="0"/>
                <w:sz w:val="18"/>
              </w:rPr>
              <w:t>references/disentangling_transfer/</w:t>
            </w:r>
          </w:p>
        </w:tc>
      </w:tr>
      <w:tr>
        <w:tc>
          <w:tcPr>
            <w:tcW w:type="dxa" w:w="2150"/>
            <w:shd w:fill="FAFBFC"/>
            <w:vAlign w:val="center"/>
            <w:tcMar>
              <w:top w:w="80" w:type="dxa"/>
              <w:start w:w="120" w:type="dxa"/>
              <w:bottom w:w="80" w:type="dxa"/>
              <w:end w:w="120" w:type="dxa"/>
            </w:tcMar>
          </w:tcPr>
          <w:p>
            <w:pPr>
              <w:spacing w:after="0" w:line="252" w:lineRule="auto"/>
            </w:pPr>
            <w:r>
              <w:rPr>
                <w:rFonts w:ascii="Calibri" w:hAnsi="Calibri"/>
                <w:b w:val="0"/>
                <w:i w:val="0"/>
                <w:sz w:val="18"/>
              </w:rPr>
              <w:t>Jump-Start Reinforcement Learning</w:t>
            </w:r>
          </w:p>
        </w:tc>
        <w:tc>
          <w:tcPr>
            <w:tcW w:type="dxa" w:w="3670"/>
            <w:shd w:fill="FAFBFC"/>
            <w:vAlign w:val="center"/>
            <w:tcMar>
              <w:top w:w="80" w:type="dxa"/>
              <w:start w:w="120" w:type="dxa"/>
              <w:bottom w:w="80" w:type="dxa"/>
              <w:end w:w="120" w:type="dxa"/>
            </w:tcMar>
          </w:tcPr>
          <w:p>
            <w:pPr>
              <w:spacing w:after="0" w:line="252" w:lineRule="auto"/>
            </w:pPr>
            <w:r>
              <w:rPr>
                <w:rFonts w:ascii="Calibri" w:hAnsi="Calibri"/>
                <w:b w:val="0"/>
                <w:i w:val="0"/>
                <w:sz w:val="18"/>
              </w:rPr>
              <w:t>Two-policy roll-in and backward curriculum.</w:t>
            </w:r>
          </w:p>
        </w:tc>
        <w:tc>
          <w:tcPr>
            <w:tcW w:type="dxa" w:w="3540"/>
            <w:shd w:fill="FAFBFC"/>
            <w:vAlign w:val="center"/>
            <w:tcMar>
              <w:top w:w="80" w:type="dxa"/>
              <w:start w:w="120" w:type="dxa"/>
              <w:bottom w:w="80" w:type="dxa"/>
              <w:end w:w="120" w:type="dxa"/>
            </w:tcMar>
          </w:tcPr>
          <w:p>
            <w:pPr>
              <w:spacing w:after="0" w:line="252" w:lineRule="auto"/>
            </w:pPr>
            <w:r>
              <w:rPr>
                <w:rFonts w:ascii="Calibri" w:hAnsi="Calibri"/>
                <w:b w:val="0"/>
                <w:i w:val="0"/>
                <w:sz w:val="18"/>
              </w:rPr>
              <w:t>references/Neurips-2023-jump start RL.pdf</w:t>
            </w:r>
          </w:p>
        </w:tc>
      </w:tr>
      <w:tr>
        <w:tc>
          <w:tcPr>
            <w:tcW w:type="dxa" w:w="2150"/>
            <w:vAlign w:val="center"/>
            <w:tcMar>
              <w:top w:w="80" w:type="dxa"/>
              <w:start w:w="120" w:type="dxa"/>
              <w:bottom w:w="80" w:type="dxa"/>
              <w:end w:w="120" w:type="dxa"/>
            </w:tcMar>
          </w:tcPr>
          <w:p>
            <w:pPr>
              <w:spacing w:after="0" w:line="252" w:lineRule="auto"/>
            </w:pPr>
            <w:r>
              <w:rPr>
                <w:rFonts w:ascii="Calibri" w:hAnsi="Calibri"/>
                <w:b w:val="0"/>
                <w:i w:val="0"/>
                <w:sz w:val="18"/>
              </w:rPr>
              <w:t>Warm-Start Reinforcement Learning</w:t>
            </w:r>
          </w:p>
        </w:tc>
        <w:tc>
          <w:tcPr>
            <w:tcW w:type="dxa" w:w="3670"/>
            <w:vAlign w:val="center"/>
            <w:tcMar>
              <w:top w:w="80" w:type="dxa"/>
              <w:start w:w="120" w:type="dxa"/>
              <w:bottom w:w="80" w:type="dxa"/>
              <w:end w:w="120" w:type="dxa"/>
            </w:tcMar>
          </w:tcPr>
          <w:p>
            <w:pPr>
              <w:spacing w:after="0" w:line="252" w:lineRule="auto"/>
            </w:pPr>
            <w:r>
              <w:rPr>
                <w:rFonts w:ascii="Calibri" w:hAnsi="Calibri"/>
                <w:b w:val="0"/>
                <w:i w:val="0"/>
                <w:sz w:val="18"/>
              </w:rPr>
              <w:t>Warm-start policy/value reuse and comparison with JSRL.</w:t>
            </w:r>
          </w:p>
        </w:tc>
        <w:tc>
          <w:tcPr>
            <w:tcW w:type="dxa" w:w="3540"/>
            <w:vAlign w:val="center"/>
            <w:tcMar>
              <w:top w:w="80" w:type="dxa"/>
              <w:start w:w="120" w:type="dxa"/>
              <w:bottom w:w="80" w:type="dxa"/>
              <w:end w:w="120" w:type="dxa"/>
            </w:tcMar>
          </w:tcPr>
          <w:p>
            <w:pPr>
              <w:spacing w:after="0" w:line="252" w:lineRule="auto"/>
            </w:pPr>
            <w:r>
              <w:rPr>
                <w:rFonts w:ascii="Calibri" w:hAnsi="Calibri"/>
                <w:b w:val="0"/>
                <w:i w:val="0"/>
                <w:sz w:val="18"/>
              </w:rPr>
              <w:t>references/ICLR-2025-warm start rl.pdf; references/wsrl_code/</w:t>
            </w:r>
          </w:p>
        </w:tc>
      </w:tr>
      <w:tr>
        <w:tc>
          <w:tcPr>
            <w:tcW w:type="dxa" w:w="2150"/>
            <w:shd w:fill="FAFBFC"/>
            <w:vAlign w:val="center"/>
            <w:tcMar>
              <w:top w:w="80" w:type="dxa"/>
              <w:start w:w="120" w:type="dxa"/>
              <w:bottom w:w="80" w:type="dxa"/>
              <w:end w:w="120" w:type="dxa"/>
            </w:tcMar>
          </w:tcPr>
          <w:p>
            <w:pPr>
              <w:spacing w:after="0" w:line="252" w:lineRule="auto"/>
            </w:pPr>
            <w:r>
              <w:rPr>
                <w:rFonts w:ascii="Calibri" w:hAnsi="Calibri"/>
                <w:b w:val="0"/>
                <w:i w:val="0"/>
                <w:sz w:val="18"/>
              </w:rPr>
              <w:t>PackNet / CRL baseline</w:t>
            </w:r>
          </w:p>
        </w:tc>
        <w:tc>
          <w:tcPr>
            <w:tcW w:type="dxa" w:w="3670"/>
            <w:shd w:fill="FAFBFC"/>
            <w:vAlign w:val="center"/>
            <w:tcMar>
              <w:top w:w="80" w:type="dxa"/>
              <w:start w:w="120" w:type="dxa"/>
              <w:bottom w:w="80" w:type="dxa"/>
              <w:end w:w="120" w:type="dxa"/>
            </w:tcMar>
          </w:tcPr>
          <w:p>
            <w:pPr>
              <w:spacing w:after="0" w:line="252" w:lineRule="auto"/>
            </w:pPr>
            <w:r>
              <w:rPr>
                <w:rFonts w:ascii="Calibri" w:hAnsi="Calibri"/>
                <w:b w:val="0"/>
                <w:i w:val="0"/>
                <w:sz w:val="18"/>
              </w:rPr>
              <w:t>Parameter isolation baseline; implementation cross-checked against the CRL reference code.</w:t>
            </w:r>
          </w:p>
        </w:tc>
        <w:tc>
          <w:tcPr>
            <w:tcW w:type="dxa" w:w="3540"/>
            <w:shd w:fill="FAFBFC"/>
            <w:vAlign w:val="center"/>
            <w:tcMar>
              <w:top w:w="80" w:type="dxa"/>
              <w:start w:w="120" w:type="dxa"/>
              <w:bottom w:w="80" w:type="dxa"/>
              <w:end w:w="120" w:type="dxa"/>
            </w:tcMar>
          </w:tcPr>
          <w:p>
            <w:pPr>
              <w:spacing w:after="0" w:line="252" w:lineRule="auto"/>
            </w:pPr>
            <w:r>
              <w:rPr>
                <w:rFonts w:ascii="Calibri" w:hAnsi="Calibri"/>
                <w:b w:val="0"/>
                <w:i w:val="0"/>
                <w:sz w:val="18"/>
              </w:rPr>
              <w:t>references/disentangling_transfer/code/</w:t>
            </w:r>
          </w:p>
        </w:tc>
      </w:tr>
      <w:tr>
        <w:tc>
          <w:tcPr>
            <w:tcW w:type="dxa" w:w="2150"/>
            <w:vAlign w:val="center"/>
            <w:tcMar>
              <w:top w:w="80" w:type="dxa"/>
              <w:start w:w="120" w:type="dxa"/>
              <w:bottom w:w="80" w:type="dxa"/>
              <w:end w:w="120" w:type="dxa"/>
            </w:tcMar>
          </w:tcPr>
          <w:p>
            <w:pPr>
              <w:spacing w:after="0" w:line="252" w:lineRule="auto"/>
            </w:pPr>
            <w:r>
              <w:rPr>
                <w:rFonts w:ascii="Calibri" w:hAnsi="Calibri"/>
                <w:b w:val="0"/>
                <w:i w:val="0"/>
                <w:sz w:val="18"/>
              </w:rPr>
              <w:t>DGCRL</w:t>
            </w:r>
          </w:p>
        </w:tc>
        <w:tc>
          <w:tcPr>
            <w:tcW w:type="dxa" w:w="3670"/>
            <w:vAlign w:val="center"/>
            <w:tcMar>
              <w:top w:w="80" w:type="dxa"/>
              <w:start w:w="120" w:type="dxa"/>
              <w:bottom w:w="80" w:type="dxa"/>
              <w:end w:w="120" w:type="dxa"/>
            </w:tcMar>
          </w:tcPr>
          <w:p>
            <w:pPr>
              <w:spacing w:after="0" w:line="252" w:lineRule="auto"/>
            </w:pPr>
            <w:r>
              <w:rPr>
                <w:rFonts w:ascii="Calibri" w:hAnsi="Calibri"/>
                <w:b w:val="0"/>
                <w:i w:val="0"/>
                <w:sz w:val="18"/>
              </w:rPr>
              <w:t>Prior demonstration-guided CRL work and curriculum inspiration.</w:t>
            </w:r>
          </w:p>
        </w:tc>
        <w:tc>
          <w:tcPr>
            <w:tcW w:type="dxa" w:w="3540"/>
            <w:vAlign w:val="center"/>
            <w:tcMar>
              <w:top w:w="80" w:type="dxa"/>
              <w:start w:w="120" w:type="dxa"/>
              <w:bottom w:w="80" w:type="dxa"/>
              <w:end w:w="120" w:type="dxa"/>
            </w:tcMar>
          </w:tcPr>
          <w:p>
            <w:pPr>
              <w:spacing w:after="0" w:line="252" w:lineRule="auto"/>
            </w:pPr>
            <w:r>
              <w:rPr>
                <w:rFonts w:ascii="Calibri" w:hAnsi="Calibri"/>
                <w:b w:val="0"/>
                <w:i w:val="0"/>
                <w:sz w:val="18"/>
              </w:rPr>
              <w:t>references/dgcrl.pdf; references/DGCRL-main/</w:t>
            </w:r>
          </w:p>
        </w:tc>
      </w:tr>
      <w:tr>
        <w:tc>
          <w:tcPr>
            <w:tcW w:type="dxa" w:w="2150"/>
            <w:shd w:fill="FAFBFC"/>
            <w:vAlign w:val="center"/>
            <w:tcMar>
              <w:top w:w="80" w:type="dxa"/>
              <w:start w:w="120" w:type="dxa"/>
              <w:bottom w:w="80" w:type="dxa"/>
              <w:end w:w="120" w:type="dxa"/>
            </w:tcMar>
          </w:tcPr>
          <w:p>
            <w:pPr>
              <w:spacing w:after="0" w:line="252" w:lineRule="auto"/>
            </w:pPr>
            <w:r>
              <w:rPr>
                <w:rFonts w:ascii="Calibri" w:hAnsi="Calibri"/>
                <w:b w:val="0"/>
                <w:i w:val="0"/>
                <w:sz w:val="18"/>
              </w:rPr>
              <w:t>CKA-RL</w:t>
            </w:r>
          </w:p>
        </w:tc>
        <w:tc>
          <w:tcPr>
            <w:tcW w:type="dxa" w:w="3670"/>
            <w:shd w:fill="FAFBFC"/>
            <w:vAlign w:val="center"/>
            <w:tcMar>
              <w:top w:w="80" w:type="dxa"/>
              <w:start w:w="120" w:type="dxa"/>
              <w:bottom w:w="80" w:type="dxa"/>
              <w:end w:w="120" w:type="dxa"/>
            </w:tcMar>
          </w:tcPr>
          <w:p>
            <w:pPr>
              <w:spacing w:after="0" w:line="252" w:lineRule="auto"/>
            </w:pPr>
            <w:r>
              <w:rPr>
                <w:rFonts w:ascii="Calibri" w:hAnsi="Calibri"/>
                <w:b w:val="0"/>
                <w:i w:val="0"/>
                <w:sz w:val="18"/>
              </w:rPr>
              <w:t>Recent continual knowledge adaptation reference and modern environment comparison.</w:t>
            </w:r>
          </w:p>
        </w:tc>
        <w:tc>
          <w:tcPr>
            <w:tcW w:type="dxa" w:w="3540"/>
            <w:shd w:fill="FAFBFC"/>
            <w:vAlign w:val="center"/>
            <w:tcMar>
              <w:top w:w="80" w:type="dxa"/>
              <w:start w:w="120" w:type="dxa"/>
              <w:bottom w:w="80" w:type="dxa"/>
              <w:end w:w="120" w:type="dxa"/>
            </w:tcMar>
          </w:tcPr>
          <w:p>
            <w:pPr>
              <w:spacing w:after="0" w:line="252" w:lineRule="auto"/>
            </w:pPr>
            <w:r>
              <w:rPr>
                <w:rFonts w:ascii="Calibri" w:hAnsi="Calibri"/>
                <w:b w:val="0"/>
                <w:i w:val="0"/>
                <w:sz w:val="18"/>
              </w:rPr>
              <w:t>references/NeurIPS-2025-continual-knowledge-adaptation-for-reinforcement-learning-Paper-Conference.pdf; references/CKA-RL-main/</w:t>
            </w:r>
          </w:p>
        </w:tc>
      </w:tr>
    </w:tbl>
    <w:p>
      <w:pPr>
        <w:spacing w:after="0"/>
      </w:pPr>
    </w:p>
    <w:p>
      <w:pPr>
        <w:pStyle w:val="Heading1"/>
      </w:pPr>
      <w:r>
        <w:t>8. Immediate Decisions and Risks</w:t>
      </w:r>
    </w:p>
    <w:p>
      <w:pPr>
        <w:pStyle w:val="ListBullet"/>
        <w:spacing w:after="80" w:line="259" w:lineRule="auto"/>
      </w:pPr>
      <w:r>
        <w:rPr>
          <w:rFonts w:ascii="Calibri" w:hAnsi="Calibri"/>
          <w:b w:val="0"/>
          <w:i w:val="0"/>
          <w:sz w:val="22"/>
        </w:rPr>
        <w:t>Metric naming: label mixed-policy FT explicitly so reviewers can distinguish direct policy reuse from learner-only transfer.</w:t>
      </w:r>
    </w:p>
    <w:p>
      <w:pPr>
        <w:pStyle w:val="ListBullet"/>
        <w:spacing w:after="80" w:line="259" w:lineRule="auto"/>
      </w:pPr>
      <w:r>
        <w:rPr>
          <w:rFonts w:ascii="Calibri" w:hAnsi="Calibri"/>
          <w:b w:val="0"/>
          <w:i w:val="0"/>
          <w:sz w:val="22"/>
        </w:rPr>
        <w:t>Guide quality: best return is aligned with ClonEx-SAC, but success-then-return should be considered as an ablation for Meta-World.</w:t>
      </w:r>
    </w:p>
    <w:p>
      <w:pPr>
        <w:pStyle w:val="ListBullet"/>
        <w:spacing w:after="80" w:line="259" w:lineRule="auto"/>
      </w:pPr>
      <w:r>
        <w:rPr>
          <w:rFonts w:ascii="Calibri" w:hAnsi="Calibri"/>
          <w:b w:val="0"/>
          <w:i w:val="0"/>
          <w:sz w:val="22"/>
        </w:rPr>
        <w:t>Compute: do not extrapolate formal runtime from MPS until the CPU/MPS benchmark is complete.</w:t>
      </w:r>
    </w:p>
    <w:p>
      <w:pPr>
        <w:pStyle w:val="ListBullet"/>
        <w:spacing w:after="80" w:line="259" w:lineRule="auto"/>
      </w:pPr>
      <w:r>
        <w:rPr>
          <w:rFonts w:ascii="Calibri" w:hAnsi="Calibri"/>
          <w:b w:val="0"/>
          <w:i w:val="0"/>
          <w:sz w:val="22"/>
        </w:rPr>
        <w:t>Reproducibility: freeze task order, seeds, configs and single-task reference curves before formal comparisons.</w:t>
      </w:r>
    </w:p>
    <w:p>
      <w:pPr>
        <w:pStyle w:val="ListBullet"/>
        <w:spacing w:after="80" w:line="259" w:lineRule="auto"/>
      </w:pPr>
      <w:r>
        <w:rPr>
          <w:rFonts w:ascii="Calibri" w:hAnsi="Calibri"/>
          <w:b w:val="0"/>
          <w:i w:val="0"/>
          <w:sz w:val="22"/>
        </w:rPr>
        <w:t>Method selection: do not label WSRL, JSRL or task conditioning as the final method before ablation evidence is available.</w:t>
      </w:r>
    </w:p>
    <w:p>
      <w:pPr>
        <w:pStyle w:val="ListBullet"/>
        <w:spacing w:after="80" w:line="259" w:lineRule="auto"/>
      </w:pPr>
      <w:r>
        <w:rPr>
          <w:rFonts w:ascii="Calibri" w:hAnsi="Calibri"/>
          <w:b w:val="0"/>
          <w:i w:val="0"/>
          <w:sz w:val="22"/>
        </w:rPr>
        <w:t>Claims: describe jsrl_continual as a continual adaptation of JSRL, not a reproduction of JSRL's IQL/Qt-Opt experiments.</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2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A626C"/>
        <w:sz w:val="18"/>
      </w:rPr>
      <w:t>CRL-CW  |  Research Planning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