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UET SA 界面盘点与改版参考</w:t>
      </w:r>
    </w:p>
    <w:p>
      <w:pPr>
        <w:pStyle w:val="Subtitle"/>
      </w:pPr>
      <w:r>
        <w:t>现有界面截图与三种设计方向</w:t>
      </w:r>
    </w:p>
    <w:p>
      <w:r>
        <w:t>2026年10月22日</w:t>
      </w:r>
    </w:p>
    <w:p>
      <w:r>
        <w:t>本文件先展示现有软件界面，再提供三种整体 UI 方向。三套初稿尚未获认可，不建议直接实施。下一轮应保留现有软件的操作密度与专业工作区，先做单页精修对照，再确定整体方向。</w:t>
      </w:r>
    </w:p>
    <w:p>
      <w:pPr>
        <w:pStyle w:val="Heading1"/>
      </w:pPr>
      <w:r>
        <w:t>截图范围与读取方式</w:t>
      </w:r>
    </w:p>
    <w:p>
      <w:r>
        <w:t>覆盖主页、12 个主要功能页、系统设置各子页及主要编辑与记录详情界面，共 36 张现状截图。截图来自当前项目的真实 React 界面，使用 1440 × 1000 的独立浏览器环境。每页保留一张原始分辨率截图，可在 Word 中放大查看。</w:t>
      </w:r>
    </w:p>
    <w:p>
      <w:r>
        <w:t>为避免修改真实实验数据，工程、受试者及记录标识为隔离示例数据。未连接实际设备，分析页采用无记录状态。共享全屏校准、刺激呈现、组合编辑器、刺激物编辑、自定义标记及两类记录详情，使用生产组件独立渲染，逐页标注。</w:t>
      </w:r>
    </w:p>
    <w:p>
      <w:r>
        <w:t>这不是全部运行状态的穷举：未展示真实设备视频、实际分析结果、导出进度、所有错误提示及厂商条件分支。授权总开关目前关闭，因此激活页不在当前可见入口内。系统原生文件选择器也不属于本轮软件 UI 盘点。</w:t>
      </w:r>
    </w:p>
    <w:p>
      <w:pPr>
        <w:pStyle w:val="Heading1"/>
      </w:pPr>
      <w:r>
        <w:t>改版必须保留的业务边界</w:t>
      </w:r>
    </w:p>
    <w:p>
      <w:r>
        <w:t>所有设备继续复用现有共享校准界面、录制页内嵌校准区及现有入口。设备差异通过能力配置和适配层处理；不能将命令确认显示为校准成功。取消、超时、断连及迟到结果的行为不因视觉改版改变。</w:t>
      </w:r>
    </w:p>
    <w:p>
      <w:r>
        <w:t>本次交付仅为截图与设计参考，没有修改产品 UI 源码。设计稿中的数值、状态和实验名称均为排版示例，不代表实际测量或已实现的功能。</w:t>
      </w:r>
    </w:p>
    <w:p>
      <w:r>
        <w:br w:type="page"/>
      </w:r>
    </w:p>
    <w:p>
      <w:pPr>
        <w:pStyle w:val="Heading1"/>
      </w:pPr>
      <w:r>
        <w:t>01 工程主页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工程主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01  工程主页</w:t>
      </w:r>
    </w:p>
    <w:p>
      <w:r>
        <w:t>工程列表适合统一行高、搜索位置与主操作层级。</w:t>
      </w:r>
    </w:p>
    <w:p>
      <w:r>
        <w:br w:type="page"/>
      </w:r>
    </w:p>
    <w:p>
      <w:pPr>
        <w:pStyle w:val="Heading1"/>
      </w:pPr>
      <w:r>
        <w:t>02 工程管理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程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02  工程管理</w:t>
      </w:r>
    </w:p>
    <w:p>
      <w:r>
        <w:t>保留工程与实验层级，将低频的备份和删除操作与日常编辑区分。</w:t>
      </w:r>
    </w:p>
    <w:p>
      <w:r>
        <w:br w:type="page"/>
      </w:r>
    </w:p>
    <w:p>
      <w:pPr>
        <w:pStyle w:val="Heading1"/>
      </w:pPr>
      <w:r>
        <w:t>03 受试管理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受试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03  受试管理</w:t>
      </w:r>
    </w:p>
    <w:p>
      <w:r>
        <w:t>统一列表操作、字段管理入口与受试者信息密度。</w:t>
      </w:r>
    </w:p>
    <w:p>
      <w:r>
        <w:br w:type="page"/>
      </w:r>
    </w:p>
    <w:p>
      <w:pPr>
        <w:pStyle w:val="Heading1"/>
      </w:pPr>
      <w:r>
        <w:t>04 实验设计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实验设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04  实验设计</w:t>
      </w:r>
    </w:p>
    <w:p>
      <w:r>
        <w:t>素材卡片、排序与预览需要形成一致的操作体系。</w:t>
      </w:r>
    </w:p>
    <w:p>
      <w:r>
        <w:br w:type="page"/>
      </w:r>
    </w:p>
    <w:p>
      <w:pPr>
        <w:pStyle w:val="Heading1"/>
      </w:pPr>
      <w:r>
        <w:t>05 实验录制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实验录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05  实验录制</w:t>
      </w:r>
    </w:p>
    <w:p>
      <w:r>
        <w:t>优先强化设备状态、校准状态与开始录制之间的关系。保留原共享校准流程。</w:t>
      </w:r>
    </w:p>
    <w:p>
      <w:r>
        <w:br w:type="page"/>
      </w:r>
    </w:p>
    <w:p>
      <w:pPr>
        <w:pStyle w:val="Heading1"/>
      </w:pPr>
      <w:r>
        <w:t>06 实验记录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验记录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06  实验记录</w:t>
      </w:r>
    </w:p>
    <w:p>
      <w:r>
        <w:t>保留列表与详情之间的连贯性，统一空态和筛选区域。</w:t>
      </w:r>
    </w:p>
    <w:p>
      <w:r>
        <w:br w:type="page"/>
      </w:r>
    </w:p>
    <w:p>
      <w:pPr>
        <w:pStyle w:val="Heading1"/>
      </w:pPr>
      <w:r>
        <w:t>07 数据导出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数据导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07  数据导出</w:t>
      </w:r>
    </w:p>
    <w:p>
      <w:r>
        <w:t>格式、数据范围与进度反馈应使用统一表单层级。</w:t>
      </w:r>
    </w:p>
    <w:p>
      <w:r>
        <w:br w:type="page"/>
      </w:r>
    </w:p>
    <w:p>
      <w:pPr>
        <w:pStyle w:val="Heading1"/>
      </w:pPr>
      <w:r>
        <w:t>08 数据可视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数据可视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08  数据可视</w:t>
      </w:r>
    </w:p>
    <w:p>
      <w:r>
        <w:t>统一记录选择、可视化画布、参数面板和时间轴的间距。</w:t>
      </w:r>
    </w:p>
    <w:p>
      <w:r>
        <w:br w:type="page"/>
      </w:r>
    </w:p>
    <w:p>
      <w:pPr>
        <w:pStyle w:val="Heading1"/>
      </w:pPr>
      <w:r>
        <w:t>09 映射描点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映射描点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09  映射描点</w:t>
      </w:r>
    </w:p>
    <w:p>
      <w:r>
        <w:t>保证画布占比，明确输入、处理状态与结果之间的关系。</w:t>
      </w:r>
    </w:p>
    <w:p>
      <w:r>
        <w:br w:type="page"/>
      </w:r>
    </w:p>
    <w:p>
      <w:pPr>
        <w:pStyle w:val="Heading1"/>
      </w:pPr>
      <w:r>
        <w:t>10 AOI分析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OI分析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  AOI分析</w:t>
      </w:r>
    </w:p>
    <w:p>
      <w:r>
        <w:t>保持区域编辑、列表和统计之间的对应关系。</w:t>
      </w:r>
    </w:p>
    <w:p>
      <w:r>
        <w:br w:type="page"/>
      </w:r>
    </w:p>
    <w:p>
      <w:pPr>
        <w:pStyle w:val="Heading1"/>
      </w:pPr>
      <w:r>
        <w:t>11 统计报表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统计报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  统计报表</w:t>
      </w:r>
    </w:p>
    <w:p>
      <w:r>
        <w:t>统一指标、筛选与图表的视觉语言，避免图表颜色与状态色混用。</w:t>
      </w:r>
    </w:p>
    <w:p>
      <w:r>
        <w:br w:type="page"/>
      </w:r>
    </w:p>
    <w:p>
      <w:pPr>
        <w:pStyle w:val="Heading1"/>
      </w:pPr>
      <w:r>
        <w:t>12 洞察报告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洞察报告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  洞察报告</w:t>
      </w:r>
    </w:p>
    <w:p>
      <w:r>
        <w:t>强化报告阅读顺序与生成状态，保持导出入口清晰。</w:t>
      </w:r>
    </w:p>
    <w:p>
      <w:r>
        <w:br w:type="page"/>
      </w:r>
    </w:p>
    <w:p>
      <w:pPr>
        <w:pStyle w:val="Heading1"/>
      </w:pPr>
      <w:r>
        <w:t>13 面部分析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面部分析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13  面部分析</w:t>
      </w:r>
    </w:p>
    <w:p>
      <w:r>
        <w:t>与眼动分析共享播放器和时间轴样式，保留数据模态隔离。</w:t>
      </w:r>
    </w:p>
    <w:p>
      <w:r>
        <w:br w:type="page"/>
      </w:r>
    </w:p>
    <w:p>
      <w:pPr>
        <w:pStyle w:val="Heading1"/>
      </w:pPr>
      <w:r>
        <w:t>14 设置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设置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14  设置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15 设置_系统风格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设置_系统风格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15  设置_系统风格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16 设置_采样率设置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设置_采样率设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16  设置_采样率设置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17 设置_音频录制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设置_音频录制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17  设置_音频录制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18 设置_AI 分析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设置_AI 分析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18  设置_AI 分析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19 设置_通讯配置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设置_通讯配置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19  设置_通讯配置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20 设置_屏幕配置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设置_屏幕配置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20  设置_屏幕配置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21 设置_模拟模式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设置_模拟模式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21  设置_模拟模式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22 设置_多人采集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设置_多人采集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22  设置_多人采集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23 新建实验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新建实验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23  新建实验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24 新建受试者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新建受试者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24  新建受试者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25 受试者字段管理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受试者字段管理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25  受试者字段管理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26 编辑受试者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编辑受试者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26  编辑受试者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27 添加刺激物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添加刺激物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27  添加刺激物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28 新建工程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新建工程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28  新建工程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29 关于我们</w:t>
      </w:r>
    </w:p>
    <w:p>
      <w:r>
        <w:t>当前项目真实页面截图。隔离示例工程，设备未连接；未加载真实实验结果。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关于我们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29  关于我们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30 共享全屏校准</w:t>
      </w:r>
    </w:p>
    <w:p>
      <w:r>
        <w:t>生产组件独立渲染，使用示例参数；非真实设备运行状态。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共享全屏校准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30  共享全屏校准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31 刺激呈现全屏</w:t>
      </w:r>
    </w:p>
    <w:p>
      <w:r>
        <w:t>生产组件独立渲染，使用示例参数；非真实设备运行状态。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刺激呈现全屏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31  刺激呈现全屏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32 组合刺激编辑器</w:t>
      </w:r>
    </w:p>
    <w:p>
      <w:r>
        <w:t>生产组件独立渲染，使用示例参数；非真实设备运行状态。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组合刺激编辑器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32  组合刺激编辑器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33 编辑刺激物</w:t>
      </w:r>
    </w:p>
    <w:p>
      <w:r>
        <w:t>生产组件独立渲染，使用示例参数；非真实设备运行状态。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编辑刺激物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33  编辑刺激物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34 自定义标记</w:t>
      </w:r>
    </w:p>
    <w:p>
      <w:r>
        <w:t>生产组件独立渲染，使用示例参数；非真实设备运行状态。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自定义标记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34  自定义标记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35 眼动记录详情</w:t>
      </w:r>
    </w:p>
    <w:p>
      <w:r>
        <w:t>生产组件独立渲染，使用示例参数；非真实设备运行状态。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眼动记录详情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35  眼动记录详情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36 表情记录详情</w:t>
      </w:r>
    </w:p>
    <w:p>
      <w:r>
        <w:t>生产组件独立渲染，使用示例参数；非真实设备运行状态。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表情记录详情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36  表情记录详情</w:t>
      </w:r>
    </w:p>
    <w:p>
      <w:r>
        <w:t>改版关注：沿用已有业务入口与字段，统一标题、控件尺寸、间距及主要操作层级。</w:t>
      </w:r>
    </w:p>
    <w:p>
      <w:r>
        <w:br w:type="page"/>
      </w:r>
    </w:p>
    <w:p>
      <w:pPr>
        <w:pStyle w:val="Heading1"/>
      </w:pPr>
      <w:r>
        <w:t>三种整体设计方向</w:t>
      </w:r>
    </w:p>
    <w:p>
      <w:r>
        <w:t>以下为原创界面参考，不是对现有软件截图的简单换色。每种方向使用相同业务内容，分别展示工程管理与实验录制，比较侧栏、表格、监看画布和控制面板的整体表现。</w:t>
      </w:r>
    </w:p>
    <w:p>
      <w:pPr>
        <w:pStyle w:val="Heading2"/>
      </w:pPr>
      <w:r>
        <w:t>A 浅色科研工作台</w:t>
      </w:r>
    </w:p>
    <w:p>
      <w:r>
        <w:t>蓝白与冷灰，细边框和中等圆角，重点突出主要任务。适合作为全系统默认方案；管理、分析、导出页面容易保持一致。</w:t>
      </w:r>
    </w:p>
    <w:p>
      <w:pPr>
        <w:pStyle w:val="Heading2"/>
      </w:pPr>
      <w:r>
        <w:t>B 深色精密仪器</w:t>
      </w:r>
    </w:p>
    <w:p>
      <w:r>
        <w:t>炭灰底色与薄荷绿强调色，小圆角和紧凑仪器布局。适合实验采集与暗室监看；表格、图表和禁用态需要逐项检查对比度。</w:t>
      </w:r>
    </w:p>
    <w:p>
      <w:pPr>
        <w:pStyle w:val="Heading2"/>
      </w:pPr>
      <w:r>
        <w:t>C 暖灰极简</w:t>
      </w:r>
    </w:p>
    <w:p>
      <w:r>
        <w:t>暖白、灰绿与较少装饰，强调标题排版和留白。适合研究管理和报告阅读；高密度分析页需要限制留白，避免增加滚动。</w:t>
      </w:r>
    </w:p>
    <w:p>
      <w:pPr>
        <w:pStyle w:val="Heading2"/>
      </w:pPr>
      <w:r>
        <w:t>本轮评估</w:t>
      </w:r>
    </w:p>
    <w:p>
      <w:r>
        <w:t>三套初稿未获认可，仅保留作为过程参考。现有界面更贴合实际实验操作；本轮初稿偏通用后台，标题与留白占用空间，统计卡片并未证明有必要。后续应首先精修现有录制工作区的信息层级、字号、控件一致性与状态反馈。</w:t>
      </w:r>
    </w:p>
    <w:p>
      <w:r>
        <w:br w:type="page"/>
      </w:r>
    </w:p>
    <w:p>
      <w:pPr>
        <w:pStyle w:val="Heading1"/>
      </w:pPr>
      <w:r>
        <w:t>A 浅色科研工作台 工程管理</w:t>
      </w:r>
    </w:p>
    <w:p>
      <w:r>
        <w:t>原创设计参考。实验、人数、记录数、设备状态和校准数值均为示例。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工程管理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设计稿 A  工程管理</w:t>
      </w:r>
    </w:p>
    <w:p>
      <w:r>
        <w:t>落地时保留现有导航与模块权限，复用公共按钮、下拉、弹窗和主题变量。校准数值须遵循各设备实际字段与单位，不能按设计示例硬编码。</w:t>
      </w:r>
    </w:p>
    <w:p>
      <w:r>
        <w:br w:type="page"/>
      </w:r>
    </w:p>
    <w:p>
      <w:pPr>
        <w:pStyle w:val="Heading1"/>
      </w:pPr>
      <w:r>
        <w:t>A 浅色科研工作台 实验录制</w:t>
      </w:r>
    </w:p>
    <w:p>
      <w:r>
        <w:t>原创设计参考。实验、人数、记录数、设备状态和校准数值均为示例。</w:t>
      </w:r>
    </w:p>
    <w:p>
      <w:r>
        <w:drawing>
          <wp:inline xmlns:a="http://schemas.openxmlformats.org/drawingml/2006/main" xmlns:pic="http://schemas.openxmlformats.org/drawingml/2006/picture">
            <wp:extent cx="6629400" cy="470042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实验录制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0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设计稿 A  实验录制</w:t>
      </w:r>
    </w:p>
    <w:p>
      <w:r>
        <w:t>落地时保留现有导航与模块权限，复用公共按钮、下拉、弹窗和主题变量。校准数值须遵循各设备实际字段与单位，不能按设计示例硬编码。</w:t>
      </w:r>
    </w:p>
    <w:p>
      <w:r>
        <w:br w:type="page"/>
      </w:r>
    </w:p>
    <w:p>
      <w:pPr>
        <w:pStyle w:val="Heading1"/>
      </w:pPr>
      <w:r>
        <w:t>B 深色精密仪器 工程管理</w:t>
      </w:r>
    </w:p>
    <w:p>
      <w:r>
        <w:t>原创设计参考。实验、人数、记录数、设备状态和校准数值均为示例。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工程管理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设计稿 B  工程管理</w:t>
      </w:r>
    </w:p>
    <w:p>
      <w:r>
        <w:t>落地时保留现有导航与模块权限，复用公共按钮、下拉、弹窗和主题变量。校准数值须遵循各设备实际字段与单位，不能按设计示例硬编码。</w:t>
      </w:r>
    </w:p>
    <w:p>
      <w:r>
        <w:br w:type="page"/>
      </w:r>
    </w:p>
    <w:p>
      <w:pPr>
        <w:pStyle w:val="Heading1"/>
      </w:pPr>
      <w:r>
        <w:t>B 深色精密仪器 实验录制</w:t>
      </w:r>
    </w:p>
    <w:p>
      <w:r>
        <w:t>原创设计参考。实验、人数、记录数、设备状态和校准数值均为示例。</w:t>
      </w:r>
    </w:p>
    <w:p>
      <w:r>
        <w:drawing>
          <wp:inline xmlns:a="http://schemas.openxmlformats.org/drawingml/2006/main" xmlns:pic="http://schemas.openxmlformats.org/drawingml/2006/picture">
            <wp:extent cx="6629400" cy="470042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实验录制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0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设计稿 B  实验录制</w:t>
      </w:r>
    </w:p>
    <w:p>
      <w:r>
        <w:t>落地时保留现有导航与模块权限，复用公共按钮、下拉、弹窗和主题变量。校准数值须遵循各设备实际字段与单位，不能按设计示例硬编码。</w:t>
      </w:r>
    </w:p>
    <w:p>
      <w:r>
        <w:br w:type="page"/>
      </w:r>
    </w:p>
    <w:p>
      <w:pPr>
        <w:pStyle w:val="Heading1"/>
      </w:pPr>
      <w:r>
        <w:t>C 暖灰极简 工程管理</w:t>
      </w:r>
    </w:p>
    <w:p>
      <w:r>
        <w:t>原创设计参考。实验、人数、记录数、设备状态和校准数值均为示例。</w:t>
      </w:r>
    </w:p>
    <w:p>
      <w:r>
        <w:drawing>
          <wp:inline xmlns:a="http://schemas.openxmlformats.org/drawingml/2006/main" xmlns:pic="http://schemas.openxmlformats.org/drawingml/2006/picture">
            <wp:extent cx="6629400" cy="4603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工程管理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设计稿 C  工程管理</w:t>
      </w:r>
    </w:p>
    <w:p>
      <w:r>
        <w:t>落地时保留现有导航与模块权限，复用公共按钮、下拉、弹窗和主题变量。校准数值须遵循各设备实际字段与单位，不能按设计示例硬编码。</w:t>
      </w:r>
    </w:p>
    <w:p>
      <w:r>
        <w:br w:type="page"/>
      </w:r>
    </w:p>
    <w:p>
      <w:pPr>
        <w:pStyle w:val="Heading1"/>
      </w:pPr>
      <w:r>
        <w:t>C 暖灰极简 实验录制</w:t>
      </w:r>
    </w:p>
    <w:p>
      <w:r>
        <w:t>原创设计参考。实验、人数、记录数、设备状态和校准数值均为示例。</w:t>
      </w:r>
    </w:p>
    <w:p>
      <w:r>
        <w:drawing>
          <wp:inline xmlns:a="http://schemas.openxmlformats.org/drawingml/2006/main" xmlns:pic="http://schemas.openxmlformats.org/drawingml/2006/picture">
            <wp:extent cx="6629400" cy="47372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实验录制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3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设计稿 C  实验录制</w:t>
      </w:r>
    </w:p>
    <w:p>
      <w:r>
        <w:t>落地时保留现有导航与模块权限，复用公共按钮、下拉、弹窗和主题变量。校准数值须遵循各设备实际字段与单位，不能按设计示例硬编码。</w:t>
      </w:r>
    </w:p>
    <w:p>
      <w:r>
        <w:br w:type="page"/>
      </w:r>
    </w:p>
    <w:p>
      <w:pPr>
        <w:pStyle w:val="Heading1"/>
      </w:pPr>
      <w:r>
        <w:t>下一步改版顺序</w:t>
      </w:r>
    </w:p>
    <w:p>
      <w:pPr>
        <w:pStyle w:val="ListNumber"/>
      </w:pPr>
      <w:r>
        <w:t>确定整体方向，并用工程管理和实验录制两页验证视觉密度。</w:t>
      </w:r>
    </w:p>
    <w:p>
      <w:pPr>
        <w:pStyle w:val="ListNumber"/>
      </w:pPr>
      <w:r>
        <w:t>统一颜色、字体、间距、圆角、边框、图标以及按钮和表单状态。</w:t>
      </w:r>
    </w:p>
    <w:p>
      <w:pPr>
        <w:pStyle w:val="ListNumber"/>
      </w:pPr>
      <w:r>
        <w:t>改造公共框架、导航、系统设置、弹窗，再处理管理与实验设计页面。</w:t>
      </w:r>
    </w:p>
    <w:p>
      <w:pPr>
        <w:pStyle w:val="ListNumber"/>
      </w:pPr>
      <w:r>
        <w:t>改造录制、共享校准、记录回放，再统一分析画布、图表、时间轴与导出。</w:t>
      </w:r>
    </w:p>
    <w:p>
      <w:pPr>
        <w:pStyle w:val="ListNumber"/>
      </w:pPr>
      <w:r>
        <w:t>检查中文与英文、浅色与深色、空态与有数据状态，以及窗口缩放；回归取消、超时、断连与迟到结果。</w:t>
      </w:r>
    </w:p>
    <w:p>
      <w:r>
        <w:t>风格预览文件与本 Word 文档位于同一目录，可打开“设计风格预览.html”在浏览器中查看六张设计页面。按钮为视觉示意，两个页面的切换链接可用。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UI 设计工作稿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UET SA     界面盘点与 UI 改版参考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Hiragino Sans GB" w:hAnsi="Hiragino Sans GB" w:eastAsia="Hiragino Sans GB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Hiragino Sans GB" w:hAnsi="Hiragino Sans GB" w:eastAsia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Hiragino Sans GB" w:hAnsi="Hiragino Sans GB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Hiragino Sans GB" w:hAnsi="Hiragino Sans GB" w:eastAsia="Hiragino Sans GB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Hiragino Sans GB" w:hAnsi="Hiragino Sans GB" w:eastAsia="Hiragino Sans GB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Hiragino Sans GB" w:hAnsi="Hiragino Sans GB" w:eastAsia="Hiragino Sans GB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Hiragino Sans GB" w:hAnsi="Hiragino Sans GB" w:eastAsia="Hiragino Sans GB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Hiragino Sans GB" w:hAnsi="Hiragino Sans GB" w:eastAsia="Hiragino Sans GB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Hiragino Sans GB" w:hAnsi="Hiragino Sans GB" w:eastAsia="Hiragino Sans GB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Hiragino Sans GB" w:hAnsi="Hiragino Sans GB" w:eastAsia="Hiragino Sans GB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