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Times New Roman" w:hAnsi="Times New Roman" w:eastAsia="Microsoft YaHei" w:cs="Times New Roman"/>
          <w:b w:val="0"/>
          <w:i w:val="0"/>
          <w:color w:val="2E74B5"/>
          <w:sz w:val="20"/>
        </w:rPr>
        <w:t>MARKET ENTRY ASSESSMENT</w:t>
      </w:r>
    </w:p>
    <w:p>
      <w:pPr>
        <w:spacing w:before="0" w:after="80"/>
        <w:jc w:val="center"/>
      </w:pPr>
      <w:r>
        <w:rPr>
          <w:rFonts w:ascii="Times New Roman" w:hAnsi="Times New Roman" w:eastAsia="Microsoft YaHei" w:cs="Times New Roman"/>
          <w:b w:val="0"/>
          <w:i w:val="0"/>
          <w:color w:val="1F4D78"/>
          <w:sz w:val="56"/>
        </w:rPr>
        <w:t>Chipotle Mexican Grill</w:t>
      </w:r>
    </w:p>
    <w:p>
      <w:pPr>
        <w:spacing w:before="0" w:after="480"/>
        <w:jc w:val="center"/>
      </w:pPr>
      <w:r>
        <w:rPr>
          <w:rFonts w:ascii="Times New Roman" w:hAnsi="Times New Roman" w:eastAsia="Microsoft YaHei" w:cs="Times New Roman"/>
          <w:b w:val="0"/>
          <w:i w:val="0"/>
          <w:color w:val="2E74B5"/>
          <w:sz w:val="32"/>
        </w:rPr>
        <w:t>United States to Shanghai, China</w:t>
      </w:r>
    </w:p>
    <w:p>
      <w:pPr>
        <w:spacing w:before="0" w:after="680"/>
        <w:jc w:val="center"/>
      </w:pPr>
      <w:r>
        <w:rPr>
          <w:rFonts w:ascii="Times New Roman" w:hAnsi="Times New Roman" w:eastAsia="Microsoft YaHei" w:cs="Times New Roman"/>
          <w:b/>
          <w:i w:val="0"/>
          <w:color w:val="667085"/>
          <w:sz w:val="24"/>
        </w:rPr>
        <w:t>Timing to Be Selected</w:t>
      </w:r>
      <w:r>
        <w:rPr>
          <w:rFonts w:ascii="Times New Roman" w:hAnsi="Times New Roman" w:eastAsia="Microsoft YaHei" w:cs="Times New Roman"/>
          <w:b w:val="0"/>
          <w:i w:val="0"/>
          <w:color w:val="667085"/>
          <w:sz w:val="24"/>
        </w:rPr>
        <w:t xml:space="preserve"> | US$10 Million Budget</w:t>
      </w:r>
    </w:p>
    <w:p>
      <w:pPr>
        <w:spacing w:before="400" w:after="160"/>
        <w:jc w:val="center"/>
      </w:pPr>
      <w:r>
        <w:rPr>
          <w:rFonts w:ascii="Times New Roman" w:hAnsi="Times New Roman" w:eastAsia="Microsoft YaHei" w:cs="Times New Roman"/>
          <w:b w:val="0"/>
          <w:i/>
          <w:color w:val="667085"/>
          <w:sz w:val="18"/>
        </w:rPr>
        <w:t>Disclaimer: Generated from publicly available information and analytical estimates. Before making major decisions or committing capital, corroborate key findings with paid data sources, primary research, and qualified legal, financial, and local market advisors.</w:t>
      </w:r>
    </w:p>
    <w:p>
      <w:pPr>
        <w:spacing w:before="0"/>
        <w:jc w:val="center"/>
      </w:pPr>
      <w:r>
        <w:rPr>
          <w:rFonts w:ascii="Times New Roman" w:hAnsi="Times New Roman" w:eastAsia="Microsoft YaHei" w:cs="Times New Roman"/>
          <w:b w:val="0"/>
          <w:i w:val="0"/>
          <w:color w:val="667085"/>
          <w:sz w:val="18"/>
        </w:rPr>
        <w:t>Research cut-off: August 2026</w:t>
      </w:r>
    </w:p>
    <w:p>
      <w:r>
        <w:br w:type="page"/>
      </w:r>
    </w:p>
    <w:p>
      <w:pPr>
        <w:pStyle w:val="Heading1"/>
      </w:pPr>
      <w:r>
        <w:t>Executive Summary &amp; Decision</w:t>
      </w:r>
    </w:p>
    <w:tbl>
      <w:tblPr>
        <w:tblStyle w:val="TableGrid"/>
        <w:tblW w:type="dxa" w:w="9360"/>
        <w:jc w:val="center"/>
        <w:tblLayout w:type="fixed"/>
        <w:tblLook w:firstColumn="1" w:firstRow="1" w:lastColumn="0" w:lastRow="0" w:noHBand="0" w:noVBand="1" w:val="04A0"/>
        <w:tblInd w:w="120" w:type="dxa"/>
      </w:tblPr>
      <w:tblGrid>
        <w:gridCol w:w="1900"/>
        <w:gridCol w:w="1200"/>
        <w:gridCol w:w="2600"/>
        <w:gridCol w:w="2200"/>
        <w:gridCol w:w="1460"/>
      </w:tblGrid>
      <w:tr>
        <w:trPr>
          <w:tblHeader w:val="true"/>
        </w:trPr>
        <w:tc>
          <w:tcPr>
            <w:tcW w:type="dxa" w:w="19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Decision</w:t>
            </w:r>
          </w:p>
        </w:tc>
        <w:tc>
          <w:tcPr>
            <w:tcW w:type="dxa" w:w="1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Score</w:t>
            </w:r>
          </w:p>
        </w:tc>
        <w:tc>
          <w:tcPr>
            <w:tcW w:type="dxa" w:w="26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Entry mode</w:t>
            </w:r>
          </w:p>
        </w:tc>
        <w:tc>
          <w:tcPr>
            <w:tcW w:type="dxa" w:w="2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Pilot</w:t>
            </w:r>
          </w:p>
        </w:tc>
        <w:tc>
          <w:tcPr>
            <w:tcW w:type="dxa" w:w="14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Investment</w:t>
            </w:r>
          </w:p>
        </w:tc>
      </w:tr>
      <w:tr>
        <w:tc>
          <w:tcPr>
            <w:tcW w:type="dxa" w:w="19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Conditional Go</w:t>
            </w:r>
          </w:p>
        </w:tc>
        <w:tc>
          <w:tcPr>
            <w:tcW w:type="dxa" w:w="1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6.5 / 10</w:t>
            </w:r>
          </w:p>
        </w:tc>
        <w:tc>
          <w:tcPr>
            <w:tcW w:type="dxa" w:w="2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Wholly owned pilot with local operating partners</w:t>
            </w:r>
          </w:p>
        </w:tc>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3 sequential Shanghai stores</w:t>
            </w:r>
          </w:p>
        </w:tc>
        <w:tc>
          <w:tcPr>
            <w:tcW w:type="dxa" w:w="14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US$10 million ceiling</w:t>
            </w:r>
          </w:p>
        </w:tc>
      </w:tr>
    </w:tbl>
    <w:p>
      <w:pPr>
        <w:spacing w:after="20"/>
      </w:pPr>
    </w:p>
    <w:p>
      <w:pPr>
        <w:spacing w:before="0"/>
      </w:pPr>
      <w:r>
        <w:rPr>
          <w:rFonts w:ascii="Times New Roman" w:hAnsi="Times New Roman" w:eastAsia="Microsoft YaHei" w:cs="Times New Roman"/>
          <w:b w:val="0"/>
          <w:i w:val="0"/>
          <w:color w:val="1F2937"/>
          <w:sz w:val="21"/>
        </w:rPr>
        <w:t>With a US$10 million budget, Chipotle can credibly test Shanghai through a staged three-store pilot supported by local sourcing, menu localization and a dedicated launch team. The budget is no longer the principal constraint.</w:t>
      </w:r>
    </w:p>
    <w:p>
      <w:pPr>
        <w:spacing w:before="0"/>
      </w:pPr>
      <w:r>
        <w:rPr>
          <w:rFonts w:ascii="Times New Roman" w:hAnsi="Times New Roman" w:eastAsia="Microsoft YaHei" w:cs="Times New Roman"/>
          <w:b w:val="0"/>
          <w:i w:val="0"/>
          <w:color w:val="1F2937"/>
          <w:sz w:val="21"/>
        </w:rPr>
        <w:t>Shanghai is China's strongest starting point because it combines high consumer spending capacity, familiarity with international food and a dense base of office workers, international residents and inbound visitors. In 2025, Shanghai had approximately 24.85 million residents, citywide disposable income of RMB91,987 per person and urban disposable income of RMB96,842. It also received 9.36 million inbound visitors.</w:t>
      </w:r>
    </w:p>
    <w:p>
      <w:pPr>
        <w:spacing w:before="0"/>
      </w:pPr>
      <w:r>
        <w:rPr>
          <w:rFonts w:ascii="Times New Roman" w:hAnsi="Times New Roman" w:eastAsia="Microsoft YaHei" w:cs="Times New Roman"/>
          <w:b w:val="0"/>
          <w:i w:val="0"/>
          <w:color w:val="1F2937"/>
          <w:sz w:val="21"/>
        </w:rPr>
        <w:t>The opportunity is not simply Mexican food. Chipotle's transferable proposition is a freshly prepared, customizable hot meal that offers visible ingredients, substantial portions and controllable protein, vegetables and carbohydrates.</w:t>
      </w:r>
    </w:p>
    <w:p>
      <w:pPr>
        <w:spacing w:before="0"/>
      </w:pPr>
      <w:r>
        <w:rPr>
          <w:rFonts w:ascii="Times New Roman" w:hAnsi="Times New Roman" w:eastAsia="Microsoft YaHei" w:cs="Times New Roman"/>
          <w:b w:val="0"/>
          <w:i w:val="0"/>
          <w:color w:val="1F2937"/>
          <w:sz w:val="21"/>
        </w:rPr>
        <w:t>The central risk remains category adoption. Taco Bell had only 28 China restaurants at the end of 2025, down from 42 one year earlier, despite operating through Yum China. Meanwhile, Subway, Wagas and FOODBOWL already compete for the fresh, customizable and relatively healthy position.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7E6"/>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7A5A00"/>
                <w:sz w:val="21"/>
              </w:rPr>
              <w:t>Management decision required</w:t>
            </w:r>
          </w:p>
          <w:p>
            <w:pPr>
              <w:spacing w:after="0"/>
            </w:pPr>
            <w:r>
              <w:rPr>
                <w:rFonts w:ascii="Times New Roman" w:hAnsi="Times New Roman" w:eastAsia="Microsoft YaHei" w:cs="Times New Roman"/>
                <w:b w:val="0"/>
                <w:i w:val="0"/>
                <w:color w:val="1F2937"/>
                <w:sz w:val="20"/>
              </w:rPr>
              <w:t>Approve consumer validation and Store 1 only. Stores 2 and 3 remain conditional on repeat purchase, contribution margin, food-safety readiness and operating consistency. Do not approve a national rollout at this stage.</w:t>
            </w:r>
          </w:p>
        </w:tc>
      </w:tr>
    </w:tbl>
    <w:p>
      <w:pPr>
        <w:spacing w:after="20"/>
      </w:pPr>
    </w:p>
    <w:p>
      <w:r>
        <w:br w:type="page"/>
      </w:r>
    </w:p>
    <w:p>
      <w:pPr>
        <w:pStyle w:val="Heading1"/>
      </w:pPr>
      <w:r>
        <w:t>1. Confirmed Inputs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Input</w:t>
            </w:r>
          </w:p>
        </w:tc>
        <w:tc>
          <w:tcPr>
            <w:tcW w:type="dxa" w:w="71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Confirmed assumption</w:t>
            </w:r>
          </w:p>
        </w:tc>
      </w:tr>
      <w:tr>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Brand</w:t>
            </w:r>
          </w:p>
        </w:tc>
        <w:tc>
          <w:tcPr>
            <w:tcW w:type="dxa" w:w="7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Chipotle Mexican Grill</w:t>
            </w:r>
          </w:p>
        </w:tc>
      </w:tr>
      <w:tr>
        <w:tc>
          <w:tcPr>
            <w:tcW w:type="dxa" w:w="2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Origin market</w:t>
            </w:r>
          </w:p>
        </w:tc>
        <w:tc>
          <w:tcPr>
            <w:tcW w:type="dxa" w:w="7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United States</w:t>
            </w:r>
          </w:p>
        </w:tc>
      </w:tr>
      <w:tr>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Target market</w:t>
            </w:r>
          </w:p>
        </w:tc>
        <w:tc>
          <w:tcPr>
            <w:tcW w:type="dxa" w:w="7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Mainland China; first city Shanghai</w:t>
            </w:r>
          </w:p>
        </w:tc>
      </w:tr>
      <w:tr>
        <w:tc>
          <w:tcPr>
            <w:tcW w:type="dxa" w:w="2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Entry timing</w:t>
            </w:r>
          </w:p>
        </w:tc>
        <w:tc>
          <w:tcPr>
            <w:tcW w:type="dxa" w:w="7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To be recommended after research and validation</w:t>
            </w:r>
          </w:p>
        </w:tc>
      </w:tr>
      <w:tr>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Budget</w:t>
            </w:r>
          </w:p>
        </w:tc>
        <w:tc>
          <w:tcPr>
            <w:tcW w:type="dxa" w:w="7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US$10 million</w:t>
            </w:r>
          </w:p>
        </w:tc>
      </w:tr>
      <w:tr>
        <w:tc>
          <w:tcPr>
            <w:tcW w:type="dxa" w:w="2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Entry mode</w:t>
            </w:r>
          </w:p>
        </w:tc>
        <w:tc>
          <w:tcPr>
            <w:tcW w:type="dxa" w:w="7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No restriction; to be selected by evidence</w:t>
            </w:r>
          </w:p>
        </w:tc>
      </w:tr>
      <w:tr>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Localization limits</w:t>
            </w:r>
          </w:p>
        </w:tc>
        <w:tc>
          <w:tcPr>
            <w:tcW w:type="dxa" w:w="7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None stated</w:t>
            </w:r>
          </w:p>
        </w:tc>
      </w:tr>
      <w:tr>
        <w:tc>
          <w:tcPr>
            <w:tcW w:type="dxa" w:w="2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Origin-market consumer profile</w:t>
            </w:r>
          </w:p>
        </w:tc>
        <w:tc>
          <w:tcPr>
            <w:tcW w:type="dxa" w:w="7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Needs-based official profile: convenient, customizable, freshly prepared meals with visible ingredients and digital access. No reliable official age or income distribution is used.</w:t>
            </w:r>
          </w:p>
        </w:tc>
      </w:tr>
      <w:tr>
        <w:tc>
          <w:tcPr>
            <w:tcW w:type="dxa" w:w="2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Origin-market pricing context</w:t>
            </w:r>
          </w:p>
        </w:tc>
        <w:tc>
          <w:tcPr>
            <w:tcW w:type="dxa" w:w="7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Location-dependent. A crawler snapshot showed chicken at US$8.45 and steak/barbacoa at US$10.45, but the live dynamic page did not reproduce the selected store or prices. Treat these as unverified historical examples, not current national prices.</w:t>
            </w:r>
          </w:p>
        </w:tc>
      </w:tr>
    </w:tbl>
    <w:p>
      <w:pPr>
        <w:spacing w:after="20"/>
      </w:pPr>
    </w:p>
    <w:p>
      <w:pPr>
        <w:pStyle w:val="Heading1"/>
      </w:pPr>
      <w:r>
        <w:t>2. Quick Blocker Scan</w:t>
      </w:r>
    </w:p>
    <w:p>
      <w:pPr>
        <w:spacing w:before="0"/>
      </w:pPr>
      <w:r>
        <w:rPr>
          <w:rFonts w:ascii="Times New Roman" w:hAnsi="Times New Roman" w:eastAsia="Microsoft YaHei" w:cs="Times New Roman"/>
          <w:b w:val="0"/>
          <w:i w:val="0"/>
          <w:color w:val="1F2937"/>
          <w:sz w:val="21"/>
        </w:rPr>
        <w:t>No hard legal blocker was identified. Ordinary restaurant operations are not prohibited by China's foreign-investment negative list. Chipotle may enter through a wholly foreign-owned entity, joint venture, licensing arrangement or another compliant operating structure.</w:t>
      </w:r>
    </w:p>
    <w:p>
      <w:pPr>
        <w:spacing w:before="0"/>
      </w:pPr>
      <w:r>
        <w:rPr>
          <w:rFonts w:ascii="Times New Roman" w:hAnsi="Times New Roman" w:eastAsia="Microsoft YaHei" w:cs="Times New Roman"/>
          <w:b w:val="0"/>
          <w:i w:val="0"/>
          <w:color w:val="1F2937"/>
          <w:sz w:val="21"/>
        </w:rPr>
        <w:t>Shanghai restaurant operations require a food-operation permit and compliance with the city's 2026 food-service review standards. Depending on store size and facilities, additional fire, drainage and construction requirements may apply.</w:t>
      </w:r>
    </w:p>
    <w:p>
      <w:pPr>
        <w:pStyle w:val="ListBullet"/>
        <w:spacing w:before="0"/>
      </w:pPr>
      <w:r>
        <w:rPr>
          <w:rFonts w:ascii="Times New Roman" w:hAnsi="Times New Roman" w:eastAsia="Microsoft YaHei" w:cs="Times New Roman"/>
          <w:b w:val="0"/>
          <w:i w:val="0"/>
          <w:color w:val="1F2937"/>
          <w:sz w:val="21"/>
        </w:rPr>
        <w:t>The permit must cover the actual preparation of hot and cold foods.</w:t>
      </w:r>
    </w:p>
    <w:p>
      <w:pPr>
        <w:pStyle w:val="ListBullet"/>
        <w:spacing w:before="0"/>
      </w:pPr>
      <w:r>
        <w:rPr>
          <w:rFonts w:ascii="Times New Roman" w:hAnsi="Times New Roman" w:eastAsia="Microsoft YaHei" w:cs="Times New Roman"/>
          <w:b w:val="0"/>
          <w:i w:val="0"/>
          <w:color w:val="1F2937"/>
          <w:sz w:val="21"/>
        </w:rPr>
        <w:t>Kitchen layout and equipment must be designed around food-safety requirements before the lease is finalized.</w:t>
      </w:r>
    </w:p>
    <w:p>
      <w:pPr>
        <w:pStyle w:val="ListBullet"/>
        <w:spacing w:before="0"/>
      </w:pPr>
      <w:r>
        <w:rPr>
          <w:rFonts w:ascii="Times New Roman" w:hAnsi="Times New Roman" w:eastAsia="Microsoft YaHei" w:cs="Times New Roman"/>
          <w:b w:val="0"/>
          <w:i w:val="0"/>
          <w:color w:val="1F2937"/>
          <w:sz w:val="21"/>
        </w:rPr>
        <w:t>A central kitchen or centralized distribution model would create additional licensing requirements.</w:t>
      </w:r>
    </w:p>
    <w:p>
      <w:pPr>
        <w:pStyle w:val="ListBullet"/>
        <w:spacing w:before="0"/>
      </w:pPr>
      <w:r>
        <w:rPr>
          <w:rFonts w:ascii="Times New Roman" w:hAnsi="Times New Roman" w:eastAsia="Microsoft YaHei" w:cs="Times New Roman"/>
          <w:b w:val="0"/>
          <w:i w:val="0"/>
          <w:color w:val="1F2937"/>
          <w:sz w:val="21"/>
        </w:rPr>
        <w:t>Imported food would add customs registration and inspection complexity; local sourcing should be the default.</w:t>
      </w:r>
    </w:p>
    <w:p>
      <w:pPr>
        <w:pStyle w:val="ListBullet"/>
        <w:spacing w:before="0"/>
      </w:pPr>
      <w:r>
        <w:rPr>
          <w:rFonts w:ascii="Times New Roman" w:hAnsi="Times New Roman" w:eastAsia="Microsoft YaHei" w:cs="Times New Roman"/>
          <w:b w:val="0"/>
          <w:i w:val="0"/>
          <w:color w:val="1F2937"/>
          <w:sz w:val="21"/>
        </w:rPr>
        <w:t>Food-waste notices, portion information and compliant waste disposal must be included in operations.</w:t>
      </w:r>
    </w:p>
    <w:p>
      <w:pPr>
        <w:pStyle w:val="ListBullet"/>
        <w:spacing w:before="0"/>
      </w:pPr>
      <w:r>
        <w:rPr>
          <w:rFonts w:ascii="Times New Roman" w:hAnsi="Times New Roman" w:eastAsia="Microsoft YaHei" w:cs="Times New Roman"/>
          <w:b w:val="0"/>
          <w:i w:val="0"/>
          <w:color w:val="1F2937"/>
          <w:sz w:val="21"/>
        </w:rPr>
        <w:t>Digital ordering and loyalty systems require local privacy and data-compliance review.</w:t>
      </w:r>
    </w:p>
    <w:p>
      <w:pPr>
        <w:spacing w:before="0"/>
      </w:pPr>
      <w:r>
        <w:rPr>
          <w:rFonts w:ascii="Times New Roman" w:hAnsi="Times New Roman" w:eastAsia="Microsoft YaHei" w:cs="Times New Roman"/>
          <w:b/>
          <w:i w:val="0"/>
          <w:color w:val="1F2937"/>
          <w:sz w:val="21"/>
        </w:rPr>
        <w:t>Regulatory conclusion:</w:t>
      </w:r>
      <w:r>
        <w:rPr>
          <w:rFonts w:ascii="Times New Roman" w:hAnsi="Times New Roman" w:eastAsia="Microsoft YaHei" w:cs="Times New Roman"/>
          <w:b w:val="0"/>
          <w:i w:val="0"/>
          <w:color w:val="1F2937"/>
          <w:sz w:val="21"/>
        </w:rPr>
        <w:t xml:space="preserve"> manageable with qualified local counsel and an experienced operating team.</w:t>
      </w:r>
    </w:p>
    <w:p>
      <w:pPr>
        <w:pStyle w:val="Heading1"/>
      </w:pPr>
      <w:r>
        <w:t>3. Target Audience</w:t>
      </w:r>
    </w:p>
    <w:p>
      <w:pPr>
        <w:pStyle w:val="Heading2"/>
      </w:pPr>
      <w:r>
        <w:t>Primary segment</w:t>
      </w:r>
    </w:p>
    <w:p>
      <w:pPr>
        <w:spacing w:before="0"/>
      </w:pPr>
      <w:r>
        <w:rPr>
          <w:rFonts w:ascii="Times New Roman" w:hAnsi="Times New Roman" w:eastAsia="Microsoft YaHei" w:cs="Times New Roman"/>
          <w:b w:val="0"/>
          <w:i w:val="0"/>
          <w:color w:val="1F2937"/>
          <w:sz w:val="21"/>
        </w:rPr>
        <w:t>Shanghai office professionals aged approximately 25-39 in Lujiazui, Nanjing West Road/Jing'an, Xujiahui and comparable commercial districts.</w:t>
      </w:r>
    </w:p>
    <w:p>
      <w:pPr>
        <w:pStyle w:val="Heading3"/>
      </w:pPr>
      <w:r>
        <w:t>Needs</w:t>
      </w:r>
    </w:p>
    <w:p>
      <w:pPr>
        <w:pStyle w:val="ListBullet"/>
        <w:spacing w:before="0"/>
      </w:pPr>
      <w:r>
        <w:rPr>
          <w:rFonts w:ascii="Times New Roman" w:hAnsi="Times New Roman" w:eastAsia="Microsoft YaHei" w:cs="Times New Roman"/>
          <w:b w:val="0"/>
          <w:i w:val="0"/>
          <w:color w:val="1F2937"/>
          <w:sz w:val="21"/>
        </w:rPr>
        <w:t>A reliable workday meal delivered or served quickly.</w:t>
      </w:r>
    </w:p>
    <w:p>
      <w:pPr>
        <w:pStyle w:val="ListBullet"/>
        <w:spacing w:before="0"/>
      </w:pPr>
      <w:r>
        <w:rPr>
          <w:rFonts w:ascii="Times New Roman" w:hAnsi="Times New Roman" w:eastAsia="Microsoft YaHei" w:cs="Times New Roman"/>
          <w:b w:val="0"/>
          <w:i w:val="0"/>
          <w:color w:val="1F2937"/>
          <w:sz w:val="21"/>
        </w:rPr>
        <w:t>More satisfying than a salad but more controllable than traditional fast food.</w:t>
      </w:r>
    </w:p>
    <w:p>
      <w:pPr>
        <w:pStyle w:val="ListBullet"/>
        <w:spacing w:before="0"/>
      </w:pPr>
      <w:r>
        <w:rPr>
          <w:rFonts w:ascii="Times New Roman" w:hAnsi="Times New Roman" w:eastAsia="Microsoft YaHei" w:cs="Times New Roman"/>
          <w:b w:val="0"/>
          <w:i w:val="0"/>
          <w:color w:val="1F2937"/>
          <w:sz w:val="21"/>
        </w:rPr>
        <w:t>Visible protein, vegetable and carbohydrate choices.</w:t>
      </w:r>
    </w:p>
    <w:p>
      <w:pPr>
        <w:pStyle w:val="ListBullet"/>
        <w:spacing w:before="0"/>
      </w:pPr>
      <w:r>
        <w:rPr>
          <w:rFonts w:ascii="Times New Roman" w:hAnsi="Times New Roman" w:eastAsia="Microsoft YaHei" w:cs="Times New Roman"/>
          <w:b w:val="0"/>
          <w:i w:val="0"/>
          <w:color w:val="1F2937"/>
          <w:sz w:val="21"/>
        </w:rPr>
        <w:t>Consistent quality across dine-in, pickup and delivery.</w:t>
      </w:r>
    </w:p>
    <w:p>
      <w:pPr>
        <w:pStyle w:val="ListBullet"/>
        <w:spacing w:before="0"/>
      </w:pPr>
      <w:r>
        <w:rPr>
          <w:rFonts w:ascii="Times New Roman" w:hAnsi="Times New Roman" w:eastAsia="Microsoft YaHei" w:cs="Times New Roman"/>
          <w:b w:val="0"/>
          <w:i w:val="0"/>
          <w:color w:val="1F2937"/>
          <w:sz w:val="21"/>
        </w:rPr>
        <w:t>Enough flavor and warmth to support frequent consumption.</w:t>
      </w:r>
    </w:p>
    <w:p>
      <w:pPr>
        <w:pStyle w:val="Heading3"/>
      </w:pPr>
      <w:r>
        <w:t>Brand Value</w:t>
      </w:r>
    </w:p>
    <w:p>
      <w:pPr>
        <w:spacing w:before="0"/>
      </w:pPr>
      <w:r>
        <w:rPr>
          <w:rFonts w:ascii="Times New Roman" w:hAnsi="Times New Roman" w:eastAsia="Microsoft YaHei" w:cs="Times New Roman"/>
          <w:b w:val="0"/>
          <w:i w:val="0"/>
          <w:color w:val="1F2937"/>
          <w:sz w:val="21"/>
        </w:rPr>
        <w:t>A freshly prepared, customizable hot bowl that combines convenience, substantial portions and ingredient control.</w:t>
      </w:r>
    </w:p>
    <w:p>
      <w:pPr>
        <w:pStyle w:val="Heading3"/>
      </w:pPr>
      <w:r>
        <w:t>Reason to Believe</w:t>
      </w:r>
    </w:p>
    <w:p>
      <w:pPr>
        <w:pStyle w:val="ListBullet"/>
        <w:spacing w:before="0"/>
      </w:pPr>
      <w:r>
        <w:rPr>
          <w:rFonts w:ascii="Times New Roman" w:hAnsi="Times New Roman" w:eastAsia="Microsoft YaHei" w:cs="Times New Roman"/>
          <w:b w:val="0"/>
          <w:i w:val="0"/>
          <w:color w:val="1F2937"/>
          <w:sz w:val="21"/>
        </w:rPr>
        <w:t>Ingredients and assembly are visible across the service line.</w:t>
      </w:r>
    </w:p>
    <w:p>
      <w:pPr>
        <w:pStyle w:val="ListBullet"/>
        <w:spacing w:before="0"/>
      </w:pPr>
      <w:r>
        <w:rPr>
          <w:rFonts w:ascii="Times New Roman" w:hAnsi="Times New Roman" w:eastAsia="Microsoft YaHei" w:cs="Times New Roman"/>
          <w:b w:val="0"/>
          <w:i w:val="0"/>
          <w:color w:val="1F2937"/>
          <w:sz w:val="21"/>
        </w:rPr>
        <w:t>Customers select their own rice, beans, protein, vegetables and sauces.</w:t>
      </w:r>
    </w:p>
    <w:p>
      <w:pPr>
        <w:pStyle w:val="ListBullet"/>
        <w:spacing w:before="0"/>
      </w:pPr>
      <w:r>
        <w:rPr>
          <w:rFonts w:ascii="Times New Roman" w:hAnsi="Times New Roman" w:eastAsia="Microsoft YaHei" w:cs="Times New Roman"/>
          <w:b w:val="0"/>
          <w:i w:val="0"/>
          <w:color w:val="1F2937"/>
          <w:sz w:val="21"/>
        </w:rPr>
        <w:t>The product is prepared to order rather than presented as a sealed premade meal.</w:t>
      </w:r>
    </w:p>
    <w:p>
      <w:pPr>
        <w:pStyle w:val="ListBullet"/>
        <w:spacing w:before="0"/>
      </w:pPr>
      <w:r>
        <w:rPr>
          <w:rFonts w:ascii="Times New Roman" w:hAnsi="Times New Roman" w:eastAsia="Microsoft YaHei" w:cs="Times New Roman"/>
          <w:b w:val="0"/>
          <w:i w:val="0"/>
          <w:color w:val="1F2937"/>
          <w:sz w:val="21"/>
        </w:rPr>
        <w:t>Nutritional and ingredient information can be displayed clearly.</w:t>
      </w:r>
    </w:p>
    <w:p>
      <w:pPr>
        <w:pStyle w:val="ListBullet"/>
        <w:spacing w:before="0"/>
      </w:pPr>
      <w:r>
        <w:rPr>
          <w:rFonts w:ascii="Times New Roman" w:hAnsi="Times New Roman" w:eastAsia="Microsoft YaHei" w:cs="Times New Roman"/>
          <w:b w:val="0"/>
          <w:i w:val="0"/>
          <w:color w:val="1F2937"/>
          <w:sz w:val="21"/>
        </w:rPr>
        <w:t>Chipotle has operated a standardized version of this format across more than 4,000 restaurants.</w:t>
      </w:r>
    </w:p>
    <w:p>
      <w:pPr>
        <w:pStyle w:val="ListBullet"/>
        <w:spacing w:before="0"/>
      </w:pPr>
      <w:r>
        <w:rPr>
          <w:rFonts w:ascii="Times New Roman" w:hAnsi="Times New Roman" w:eastAsia="Microsoft YaHei" w:cs="Times New Roman"/>
          <w:b w:val="0"/>
          <w:i w:val="0"/>
          <w:color w:val="1F2937"/>
          <w:sz w:val="21"/>
        </w:rPr>
        <w:t>Published Food with Integrity sourcing principles provide a concrete brand commitment.</w:t>
      </w:r>
    </w:p>
    <w:p>
      <w:pPr>
        <w:pStyle w:val="Heading3"/>
      </w:pPr>
      <w:r>
        <w:t>Research Evidence</w:t>
      </w:r>
    </w:p>
    <w:p>
      <w:pPr>
        <w:pStyle w:val="ListBullet"/>
        <w:spacing w:before="0"/>
      </w:pPr>
      <w:r>
        <w:rPr>
          <w:rFonts w:ascii="Times New Roman" w:hAnsi="Times New Roman" w:eastAsia="Microsoft YaHei" w:cs="Times New Roman"/>
          <w:b w:val="0"/>
          <w:i w:val="0"/>
          <w:color w:val="1F2937"/>
          <w:sz w:val="21"/>
        </w:rPr>
        <w:t>Shanghai urban disposable income reached RMB96,842 per person in 2025.</w:t>
      </w:r>
    </w:p>
    <w:p>
      <w:pPr>
        <w:pStyle w:val="ListBullet"/>
        <w:spacing w:before="0"/>
      </w:pPr>
      <w:r>
        <w:rPr>
          <w:rFonts w:ascii="Times New Roman" w:hAnsi="Times New Roman" w:eastAsia="Microsoft YaHei" w:cs="Times New Roman"/>
          <w:b w:val="0"/>
          <w:i w:val="0"/>
          <w:color w:val="1F2937"/>
          <w:sz w:val="21"/>
        </w:rPr>
        <w:t>The city promotes international food and health-oriented restaurant innovation.</w:t>
      </w:r>
    </w:p>
    <w:p>
      <w:pPr>
        <w:pStyle w:val="ListBullet"/>
        <w:spacing w:before="0"/>
      </w:pPr>
      <w:r>
        <w:rPr>
          <w:rFonts w:ascii="Times New Roman" w:hAnsi="Times New Roman" w:eastAsia="Microsoft YaHei" w:cs="Times New Roman"/>
          <w:b w:val="0"/>
          <w:i w:val="0"/>
          <w:color w:val="1F2937"/>
          <w:sz w:val="21"/>
        </w:rPr>
        <w:t>Subway has expanded to roughly 1,000 China stores, including a substantial Shanghai presence.</w:t>
      </w:r>
    </w:p>
    <w:p>
      <w:pPr>
        <w:pStyle w:val="ListBullet"/>
        <w:spacing w:before="0"/>
      </w:pPr>
      <w:r>
        <w:rPr>
          <w:rFonts w:ascii="Times New Roman" w:hAnsi="Times New Roman" w:eastAsia="Microsoft YaHei" w:cs="Times New Roman"/>
          <w:b w:val="0"/>
          <w:i w:val="0"/>
          <w:color w:val="1F2937"/>
          <w:sz w:val="21"/>
        </w:rPr>
        <w:t>FOODBOWL has expanded beyond 100 stores around the same healthy hot-bowl occasion.</w:t>
      </w:r>
    </w:p>
    <w:p>
      <w:pPr>
        <w:pStyle w:val="Heading2"/>
      </w:pPr>
      <w:r>
        <w:t>Secondary segments</w:t>
      </w:r>
    </w:p>
    <w:p>
      <w:pPr>
        <w:pStyle w:val="ListBullet"/>
        <w:spacing w:before="0"/>
      </w:pPr>
      <w:r>
        <w:rPr>
          <w:rFonts w:ascii="Times New Roman" w:hAnsi="Times New Roman" w:eastAsia="Microsoft YaHei" w:cs="Times New Roman"/>
          <w:b w:val="0"/>
          <w:i w:val="0"/>
          <w:color w:val="1F2937"/>
          <w:sz w:val="21"/>
        </w:rPr>
        <w:t>Fitness and high-protein consumers.</w:t>
      </w:r>
    </w:p>
    <w:p>
      <w:pPr>
        <w:pStyle w:val="ListBullet"/>
        <w:spacing w:before="0"/>
      </w:pPr>
      <w:r>
        <w:rPr>
          <w:rFonts w:ascii="Times New Roman" w:hAnsi="Times New Roman" w:eastAsia="Microsoft YaHei" w:cs="Times New Roman"/>
          <w:b w:val="0"/>
          <w:i w:val="0"/>
          <w:color w:val="1F2937"/>
          <w:sz w:val="21"/>
        </w:rPr>
        <w:t>Overseas-educated and internationally exposed consumers.</w:t>
      </w:r>
    </w:p>
    <w:p>
      <w:pPr>
        <w:pStyle w:val="ListBullet"/>
        <w:spacing w:before="0"/>
      </w:pPr>
      <w:r>
        <w:rPr>
          <w:rFonts w:ascii="Times New Roman" w:hAnsi="Times New Roman" w:eastAsia="Microsoft YaHei" w:cs="Times New Roman"/>
          <w:b w:val="0"/>
          <w:i w:val="0"/>
          <w:color w:val="1F2937"/>
          <w:sz w:val="21"/>
        </w:rPr>
        <w:t>Gen Z customers seeking new international flavors.</w:t>
      </w:r>
    </w:p>
    <w:p>
      <w:pPr>
        <w:pStyle w:val="ListBullet"/>
        <w:spacing w:before="0"/>
      </w:pPr>
      <w:r>
        <w:rPr>
          <w:rFonts w:ascii="Times New Roman" w:hAnsi="Times New Roman" w:eastAsia="Microsoft YaHei" w:cs="Times New Roman"/>
          <w:b w:val="0"/>
          <w:i w:val="0"/>
          <w:color w:val="1F2937"/>
          <w:sz w:val="21"/>
        </w:rPr>
        <w:t>Corporate lunch, meeting and group-order customers.</w:t>
      </w:r>
    </w:p>
    <w:p>
      <w:pPr>
        <w:pStyle w:val="ListBullet"/>
        <w:spacing w:before="0"/>
      </w:pPr>
      <w:r>
        <w:rPr>
          <w:rFonts w:ascii="Times New Roman" w:hAnsi="Times New Roman" w:eastAsia="Microsoft YaHei" w:cs="Times New Roman"/>
          <w:b w:val="0"/>
          <w:i w:val="0"/>
          <w:color w:val="1F2937"/>
          <w:sz w:val="21"/>
        </w:rPr>
        <w:t>Inbound business and leisure travelers.</w:t>
      </w:r>
    </w:p>
    <w:p>
      <w:pPr>
        <w:spacing w:before="0"/>
      </w:pPr>
      <w:r>
        <w:rPr>
          <w:rFonts w:ascii="Times New Roman" w:hAnsi="Times New Roman" w:eastAsia="Microsoft YaHei" w:cs="Times New Roman"/>
          <w:b w:val="0"/>
          <w:i w:val="0"/>
          <w:color w:val="1F2937"/>
          <w:sz w:val="21"/>
        </w:rPr>
        <w:t>These segments can support early trial but should not replace the office-lunch segment as the core repeat customer.</w:t>
      </w:r>
    </w:p>
    <w:p>
      <w:pPr>
        <w:pStyle w:val="Heading1"/>
      </w:pPr>
      <w:r>
        <w:t>4. Market Size and Demand Frame</w:t>
      </w:r>
    </w:p>
    <w:p>
      <w:pPr>
        <w:spacing w:before="0"/>
      </w:pPr>
      <w:r>
        <w:rPr>
          <w:rFonts w:ascii="Times New Roman" w:hAnsi="Times New Roman" w:eastAsia="Microsoft YaHei" w:cs="Times New Roman"/>
          <w:b w:val="0"/>
          <w:i w:val="0"/>
          <w:color w:val="1F2937"/>
          <w:sz w:val="21"/>
        </w:rPr>
        <w:t>China's total catering revenue reached approximately RMB5.80 trillion in 2025, but this figure is too broad to serve as Chipotle's addressable market. No sufficiently reliable public figure was found for the Shanghai Mexican fast-casual market; this report does not manufacture a top-down TAM from unrelated light-meal or meal-replacement estimates.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1F4D78"/>
                <w:sz w:val="21"/>
              </w:rPr>
              <w:t>Practical market definition</w:t>
            </w:r>
          </w:p>
          <w:p>
            <w:pPr>
              <w:spacing w:after="0"/>
            </w:pPr>
            <w:r>
              <w:rPr>
                <w:rFonts w:ascii="Times New Roman" w:hAnsi="Times New Roman" w:eastAsia="Microsoft YaHei" w:cs="Times New Roman"/>
                <w:b w:val="0"/>
                <w:i w:val="0"/>
                <w:color w:val="1F2937"/>
                <w:sz w:val="20"/>
              </w:rPr>
              <w:t>Freshly prepared, single-person meals priced approximately RMB35-65, purchased in Shanghai office, delivery, fitness and casual-dining occasions.</w:t>
            </w:r>
          </w:p>
        </w:tc>
      </w:tr>
    </w:tbl>
    <w:p>
      <w:pPr>
        <w:spacing w:after="20"/>
      </w:pPr>
    </w:p>
    <w:p>
      <w:pPr>
        <w:pStyle w:val="Heading2"/>
      </w:pPr>
      <w:r>
        <w:t>TAM / SAM / SOM</w:t>
      </w:r>
    </w:p>
    <w:tbl>
      <w:tblPr>
        <w:tblStyle w:val="TableGrid"/>
        <w:tblW w:type="dxa" w:w="9360"/>
        <w:jc w:val="center"/>
        <w:tblLayout w:type="fixed"/>
        <w:tblLook w:firstColumn="1" w:firstRow="1" w:lastColumn="0" w:lastRow="0" w:noHBand="0" w:noVBand="1" w:val="04A0"/>
        <w:tblInd w:w="120" w:type="dxa"/>
      </w:tblPr>
      <w:tblGrid>
        <w:gridCol w:w="1500"/>
        <w:gridCol w:w="4100"/>
        <w:gridCol w:w="3760"/>
      </w:tblGrid>
      <w:tr>
        <w:trPr>
          <w:tblHeader w:val="true"/>
        </w:trPr>
        <w:tc>
          <w:tcPr>
            <w:tcW w:type="dxa" w:w="15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Layer</w:t>
            </w:r>
          </w:p>
        </w:tc>
        <w:tc>
          <w:tcPr>
            <w:tcW w:type="dxa" w:w="41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Definition</w:t>
            </w:r>
          </w:p>
        </w:tc>
        <w:tc>
          <w:tcPr>
            <w:tcW w:type="dxa" w:w="37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Interpretation</w:t>
            </w:r>
          </w:p>
        </w:tc>
      </w:tr>
      <w:tr>
        <w:tc>
          <w:tcPr>
            <w:tcW w:type="dxa" w:w="15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TAM</w:t>
            </w:r>
          </w:p>
        </w:tc>
        <w:tc>
          <w:tcPr>
            <w:tcW w:type="dxa" w:w="41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All China catering revenue</w:t>
            </w:r>
          </w:p>
        </w:tc>
        <w:tc>
          <w:tcPr>
            <w:tcW w:type="dxa" w:w="37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RMB5.80 trillion in 2025; a macro ceiling only, not addressable demand</w:t>
            </w:r>
          </w:p>
        </w:tc>
      </w:tr>
      <w:tr>
        <w:tc>
          <w:tcPr>
            <w:tcW w:type="dxa" w:w="15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SAM</w:t>
            </w:r>
          </w:p>
        </w:tc>
        <w:tc>
          <w:tcPr>
            <w:tcW w:type="dxa" w:w="41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Shanghai freshly prepared meals in the RMB35-65 office, delivery, fitness and casual occasions</w:t>
            </w:r>
          </w:p>
        </w:tc>
        <w:tc>
          <w:tcPr>
            <w:tcW w:type="dxa" w:w="37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No defensible public figure; requires occasion, district, price-band and channel data</w:t>
            </w:r>
          </w:p>
        </w:tc>
      </w:tr>
      <w:tr>
        <w:tc>
          <w:tcPr>
            <w:tcW w:type="dxa" w:w="15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SOM</w:t>
            </w:r>
          </w:p>
        </w:tc>
        <w:tc>
          <w:tcPr>
            <w:tcW w:type="dxa" w:w="41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Revenue realistically captured during the first three years</w:t>
            </w:r>
          </w:p>
        </w:tc>
        <w:tc>
          <w:tcPr>
            <w:tcW w:type="dxa" w:w="37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Set only after validated awareness, trial, repeat, ticket, channel mix and contribution economics</w:t>
            </w:r>
          </w:p>
        </w:tc>
      </w:tr>
    </w:tbl>
    <w:p>
      <w:pPr>
        <w:spacing w:after="20"/>
      </w:pPr>
    </w:p>
    <w:p>
      <w:pPr>
        <w:pStyle w:val="Heading2"/>
      </w:pPr>
      <w:r>
        <w:t>Demand-side model</w:t>
      </w:r>
    </w:p>
    <w:p>
      <w:pPr>
        <w:spacing w:before="0"/>
      </w:pPr>
      <w:r>
        <w:rPr>
          <w:rFonts w:ascii="Times New Roman" w:hAnsi="Times New Roman" w:eastAsia="Microsoft YaHei" w:cs="Times New Roman"/>
          <w:b w:val="0"/>
          <w:i w:val="0"/>
          <w:color w:val="1F2937"/>
          <w:sz w:val="21"/>
        </w:rPr>
        <w:t>Estimate addressable meal occasions by district and daypart, then apply awareness, consideration, trial, repeat frequency, channel availability and average ticket. Deduct delivery overlap, promotions and customer churn. The model should be populated with office-worker surveys, mobile-location footfall, delivery-platform data and test-kitchen behavior before any multi-store forecast is approved.</w:t>
      </w:r>
    </w:p>
    <w:p>
      <w:pPr>
        <w:pStyle w:val="Heading2"/>
      </w:pPr>
      <w:r>
        <w:t>Geographic opportunity</w:t>
      </w:r>
    </w:p>
    <w:tbl>
      <w:tblPr>
        <w:tblStyle w:val="TableGrid"/>
        <w:tblW w:type="dxa" w:w="9360"/>
        <w:jc w:val="center"/>
        <w:tblLayout w:type="fixed"/>
        <w:tblLook w:firstColumn="1" w:firstRow="1" w:lastColumn="0" w:lastRow="0" w:noHBand="0" w:noVBand="1" w:val="04A0"/>
        <w:tblInd w:w="120" w:type="dxa"/>
      </w:tblPr>
      <w:tblGrid>
        <w:gridCol w:w="2300"/>
        <w:gridCol w:w="4700"/>
        <w:gridCol w:w="2360"/>
      </w:tblGrid>
      <w:tr>
        <w:trPr>
          <w:tblHeader w:val="true"/>
        </w:trPr>
        <w:tc>
          <w:tcPr>
            <w:tcW w:type="dxa" w:w="23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Shanghai cluster</w:t>
            </w:r>
          </w:p>
        </w:tc>
        <w:tc>
          <w:tcPr>
            <w:tcW w:type="dxa" w:w="47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Demand logic</w:t>
            </w:r>
          </w:p>
        </w:tc>
        <w:tc>
          <w:tcPr>
            <w:tcW w:type="dxa" w:w="23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Pilot role</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Lujiazui</w:t>
            </w:r>
          </w:p>
        </w:tc>
        <w:tc>
          <w:tcPr>
            <w:tcW w:type="dxa" w:w="47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Dense offices, international exposure and weekday lunch demand</w:t>
            </w:r>
          </w:p>
        </w:tc>
        <w:tc>
          <w:tcPr>
            <w:tcW w:type="dxa" w:w="23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Primary office-lunch test</w:t>
            </w:r>
          </w:p>
        </w:tc>
      </w:tr>
      <w:tr>
        <w:tc>
          <w:tcPr>
            <w:tcW w:type="dxa" w:w="23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Nanjing West Road / Jing'an</w:t>
            </w:r>
          </w:p>
        </w:tc>
        <w:tc>
          <w:tcPr>
            <w:tcW w:type="dxa" w:w="47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Premium retail, offices, residents and visitors</w:t>
            </w:r>
          </w:p>
        </w:tc>
        <w:tc>
          <w:tcPr>
            <w:tcW w:type="dxa" w:w="23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Brand and mixed-daypart test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Xujiahui</w:t>
            </w:r>
          </w:p>
        </w:tc>
        <w:tc>
          <w:tcPr>
            <w:tcW w:type="dxa" w:w="47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Offices, retail, transit and broader local catchment</w:t>
            </w:r>
          </w:p>
        </w:tc>
        <w:tc>
          <w:tcPr>
            <w:tcW w:type="dxa" w:w="23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Repeatability test</w:t>
            </w:r>
          </w:p>
        </w:tc>
      </w:tr>
      <w:tr>
        <w:tc>
          <w:tcPr>
            <w:tcW w:type="dxa" w:w="23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Hongqiao</w:t>
            </w:r>
          </w:p>
        </w:tc>
        <w:tc>
          <w:tcPr>
            <w:tcW w:type="dxa" w:w="47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Business travel, offices and transport nodes</w:t>
            </w:r>
          </w:p>
        </w:tc>
        <w:tc>
          <w:tcPr>
            <w:tcW w:type="dxa" w:w="23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Later corporate and traveler test</w:t>
            </w:r>
          </w:p>
        </w:tc>
      </w:tr>
    </w:tbl>
    <w:p>
      <w:pPr>
        <w:spacing w:after="20"/>
      </w:pPr>
    </w:p>
    <w:p>
      <w:pPr>
        <w:pStyle w:val="Heading2"/>
      </w:pPr>
      <w:r>
        <w:t>Category growth &amp; maturity</w:t>
      </w:r>
    </w:p>
    <w:p>
      <w:pPr>
        <w:spacing w:before="0"/>
      </w:pPr>
      <w:r>
        <w:rPr>
          <w:rFonts w:ascii="Times New Roman" w:hAnsi="Times New Roman" w:eastAsia="Microsoft YaHei" w:cs="Times New Roman"/>
          <w:b w:val="0"/>
          <w:i w:val="0"/>
          <w:color w:val="1F2937"/>
          <w:sz w:val="21"/>
        </w:rPr>
        <w:t>China catering revenue grew 3.2% in 2025. That indicates a large but moderating market rather than automatic category growth. Mexican-inspired QSR remains small, and Taco Bell's store contraction shows that novelty does not guarantee frequency. Fresh bowls and customizable meals are more established need states than Mexican cuisine itself.</w:t>
      </w:r>
    </w:p>
    <w:p>
      <w:pPr>
        <w:pStyle w:val="Heading2"/>
      </w:pPr>
      <w:r>
        <w:t>Evidence quality &amp; gaps</w:t>
      </w:r>
    </w:p>
    <w:p>
      <w:pPr>
        <w:spacing w:before="0"/>
      </w:pPr>
      <w:r>
        <w:rPr>
          <w:rFonts w:ascii="Times New Roman" w:hAnsi="Times New Roman" w:eastAsia="Microsoft YaHei" w:cs="Times New Roman"/>
          <w:b w:val="0"/>
          <w:i w:val="0"/>
          <w:color w:val="1F2937"/>
          <w:sz w:val="21"/>
        </w:rPr>
        <w:t>National catering data are official but too broad. Shanghai income and retail data support purchasing capacity, not category demand. Competitor store counts and listed prices are point-in-time signals. Paid delivery-platform data, location analytics, consumer research and observed repeat behavior are required before lease sequencing.</w:t>
      </w:r>
    </w:p>
    <w:p>
      <w:pPr>
        <w:pStyle w:val="Heading1"/>
      </w:pPr>
      <w:r>
        <w:t>5. Competitive Landscape</w:t>
      </w:r>
    </w:p>
    <w:p>
      <w:pPr>
        <w:spacing w:before="0"/>
      </w:pPr>
      <w:r>
        <w:rPr>
          <w:rFonts w:ascii="Times New Roman" w:hAnsi="Times New Roman" w:eastAsia="Microsoft YaHei" w:cs="Times New Roman"/>
          <w:b w:val="0"/>
          <w:i w:val="0"/>
          <w:color w:val="1F2937"/>
          <w:sz w:val="21"/>
        </w:rPr>
        <w:t>Competitors are separated by role: category competitor, structural competitor, need-state substitute and scale benchmark. Scale alone does not make a brand a direct competitor.</w:t>
      </w:r>
    </w:p>
    <w:p>
      <w:pPr>
        <w:pStyle w:val="Heading2"/>
      </w:pPr>
      <w:r>
        <w:t>Taco Bell</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Direct category competitor</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Young novelty seekers and Western-QSR users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Localized, youthful Mexican-inspired QSR.</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Yum China supply chain, property relationships, delivery systems and local operating experience.</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Tacos, burritos, quesadillas and localized bowls; dine-in, delivery and digital ordering.</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Novel flavors, accessible bundles and promotions</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28 China stores at end-2025, down from 42 in 2024; high localization but negative recent trajectory</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Its contraction is direct evidence that curiosity may not become frequency; threat is category ownership, while the gap is a more substantial fresh bowl.</w:t>
      </w:r>
    </w:p>
    <w:p>
      <w:pPr>
        <w:pStyle w:val="Heading2"/>
      </w:pPr>
      <w:r>
        <w:t>Subway</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Structural direct competitor</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Office workers, students and convenience-led diners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Freshly prepared, customizable Western fast food.</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Roughly 1,000 China stores; strong Shanghai density; mature franchise structure; open kitchen; extensive localization.</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Sandwiches, wraps and energy bowls across multiple price tiers; stores, delivery and digital ordering.</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Familiar customization, convenience and broad availability</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National scale with meaningful Shanghai density; localized products and franchise-led expansion</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It already owns fresh/customizable cues; Chipotle must differentiate through a hotter, more filling and protein-forward meal.</w:t>
      </w:r>
    </w:p>
    <w:p>
      <w:pPr>
        <w:pStyle w:val="Heading2"/>
      </w:pPr>
      <w:r>
        <w:t>FOODBOWL</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Product and occasion competitor</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Health-conscious white-collar lunch consumers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Chinese-flavoured hot healthy bowls: healthy, warm, affordable and repeatable.</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Chinese flavors, calorie communication, office-lunch behavior and more than 100 stores.</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Chicken around RMB35-37; beef around RMB47; premium seafood higher; dine-in and delivery.</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Warmth, familiar flavor, nutrition cues and repeatable pricing</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More than 100 stores reported; format and menu designed around local lunch demand</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It sets the practical price and frequency benchmark; Chipotle has stronger global differentiation but weaker local relevance.</w:t>
      </w:r>
    </w:p>
    <w:p>
      <w:pPr>
        <w:pStyle w:val="Heading2"/>
      </w:pPr>
      <w:r>
        <w:t>Wagas</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Audience and lifestyle competitor</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Affluent urban professionals and internationally exposed diners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Premium healthy Western cafe and urban lifestyle brand.</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Long Shanghai history, white-collar awareness, attractive stores and a broad all-day menu.</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Energy bowls, salads, sandwiches, juices and coffee; dine-in, takeaway and membership.</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Trusted lifestyle brand, environment and all-day choice</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Established Shanghai network and deep local familiarity with Western healthy dining</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It competes for the same audience and premium occasion; Chipotle can be faster and more focused but offers less breadth.</w:t>
      </w:r>
    </w:p>
    <w:p>
      <w:pPr>
        <w:pStyle w:val="Heading2"/>
      </w:pPr>
      <w:r>
        <w:t>Mala tang and self-select Chinese meals</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Need-state substitute</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Broad everyday meal users across income groups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Familiar, hot, customizable and value-oriented everyday meals.</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Consumer familiarity, broad flavor range, dense distribution and flexible pricing.</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Select ingredients, choose broth/flavor and pay by weight; dine-in and delivery.</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Maximum choice, familiar taste, warmth and visible value</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Highly fragmented but ubiquitous; inherently localized</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This is the strongest frequency substitute. Chipotle cannot win on variety or familiarity and must win on consistency and controlled composition.</w:t>
      </w:r>
    </w:p>
    <w:p>
      <w:pPr>
        <w:pStyle w:val="Heading2"/>
      </w:pPr>
      <w:r>
        <w:t>KFC</w:t>
      </w:r>
    </w:p>
    <w:p>
      <w:pPr>
        <w:spacing w:before="0"/>
      </w:pPr>
      <w:r>
        <w:rPr>
          <w:rFonts w:ascii="Times New Roman" w:hAnsi="Times New Roman" w:eastAsia="Microsoft YaHei" w:cs="Times New Roman"/>
          <w:b/>
          <w:i w:val="0"/>
          <w:color w:val="1F2937"/>
          <w:sz w:val="21"/>
        </w:rPr>
        <w:t>Type:</w:t>
      </w:r>
      <w:r>
        <w:rPr>
          <w:rFonts w:ascii="Times New Roman" w:hAnsi="Times New Roman" w:eastAsia="Microsoft YaHei" w:cs="Times New Roman"/>
          <w:b w:val="0"/>
          <w:i w:val="0"/>
          <w:color w:val="1F2937"/>
          <w:sz w:val="21"/>
        </w:rPr>
        <w:t xml:space="preserve"> Scale benchmark</w:t>
      </w:r>
    </w:p>
    <w:p>
      <w:pPr>
        <w:spacing w:before="0"/>
      </w:pPr>
      <w:r>
        <w:rPr>
          <w:rFonts w:ascii="Times New Roman" w:hAnsi="Times New Roman" w:eastAsia="Microsoft YaHei" w:cs="Times New Roman"/>
          <w:b/>
          <w:i w:val="0"/>
          <w:color w:val="1F2937"/>
          <w:sz w:val="21"/>
        </w:rPr>
        <w:t>Target customer:</w:t>
      </w:r>
      <w:r>
        <w:rPr>
          <w:rFonts w:ascii="Times New Roman" w:hAnsi="Times New Roman" w:eastAsia="Microsoft YaHei" w:cs="Times New Roman"/>
          <w:b w:val="0"/>
          <w:i w:val="0"/>
          <w:color w:val="1F2937"/>
          <w:sz w:val="21"/>
        </w:rPr>
        <w:t xml:space="preserve"> Mass-market consumers across cities and dayparts</w:t>
      </w:r>
    </w:p>
    <w:p>
      <w:pPr>
        <w:spacing w:before="0"/>
      </w:pPr>
      <w:r>
        <w:rPr>
          <w:rFonts w:ascii="Times New Roman" w:hAnsi="Times New Roman" w:eastAsia="Microsoft YaHei" w:cs="Times New Roman"/>
          <w:b/>
          <w:i w:val="0"/>
          <w:color w:val="1F2937"/>
          <w:sz w:val="21"/>
        </w:rPr>
        <w:t>Positioning:</w:t>
      </w:r>
      <w:r>
        <w:rPr>
          <w:rFonts w:ascii="Times New Roman" w:hAnsi="Times New Roman" w:eastAsia="Microsoft YaHei" w:cs="Times New Roman"/>
          <w:b w:val="0"/>
          <w:i w:val="0"/>
          <w:color w:val="1F2937"/>
          <w:sz w:val="21"/>
        </w:rPr>
        <w:t xml:space="preserve"> Broad, deeply localized mass-market Western QSR.</w:t>
      </w:r>
    </w:p>
    <w:p>
      <w:pPr>
        <w:spacing w:before="0"/>
      </w:pPr>
      <w:r>
        <w:rPr>
          <w:rFonts w:ascii="Times New Roman" w:hAnsi="Times New Roman" w:eastAsia="Microsoft YaHei" w:cs="Times New Roman"/>
          <w:b/>
          <w:i w:val="0"/>
          <w:color w:val="1F2937"/>
          <w:sz w:val="21"/>
        </w:rPr>
        <w:t>Competitive advantage:</w:t>
      </w:r>
      <w:r>
        <w:rPr>
          <w:rFonts w:ascii="Times New Roman" w:hAnsi="Times New Roman" w:eastAsia="Microsoft YaHei" w:cs="Times New Roman"/>
          <w:b w:val="0"/>
          <w:i w:val="0"/>
          <w:color w:val="1F2937"/>
          <w:sz w:val="21"/>
        </w:rPr>
        <w:t xml:space="preserve"> National scale, procurement, digital ecosystem and local menu innovation.</w:t>
      </w:r>
    </w:p>
    <w:p>
      <w:pPr>
        <w:spacing w:before="0"/>
      </w:pPr>
      <w:r>
        <w:rPr>
          <w:rFonts w:ascii="Times New Roman" w:hAnsi="Times New Roman" w:eastAsia="Microsoft YaHei" w:cs="Times New Roman"/>
          <w:b/>
          <w:i w:val="0"/>
          <w:color w:val="1F2937"/>
          <w:sz w:val="21"/>
        </w:rPr>
        <w:t>Product, price and channels:</w:t>
      </w:r>
      <w:r>
        <w:rPr>
          <w:rFonts w:ascii="Times New Roman" w:hAnsi="Times New Roman" w:eastAsia="Microsoft YaHei" w:cs="Times New Roman"/>
          <w:b w:val="0"/>
          <w:i w:val="0"/>
          <w:color w:val="1F2937"/>
          <w:sz w:val="21"/>
        </w:rPr>
        <w:t xml:space="preserve"> Broad price ladder, channels and dayparts.</w:t>
      </w:r>
    </w:p>
    <w:p>
      <w:pPr>
        <w:spacing w:before="0"/>
      </w:pPr>
      <w:r>
        <w:rPr>
          <w:rFonts w:ascii="Times New Roman" w:hAnsi="Times New Roman" w:eastAsia="Microsoft YaHei" w:cs="Times New Roman"/>
          <w:b/>
          <w:i w:val="0"/>
          <w:color w:val="1F2937"/>
          <w:sz w:val="21"/>
        </w:rPr>
        <w:t>Reason customers choose it:</w:t>
      </w:r>
      <w:r>
        <w:rPr>
          <w:rFonts w:ascii="Times New Roman" w:hAnsi="Times New Roman" w:eastAsia="Microsoft YaHei" w:cs="Times New Roman"/>
          <w:b w:val="0"/>
          <w:i w:val="0"/>
          <w:color w:val="1F2937"/>
          <w:sz w:val="21"/>
        </w:rPr>
        <w:t xml:space="preserve"> Convenience, trust, promotions and localized choice</w:t>
      </w:r>
    </w:p>
    <w:p>
      <w:pPr>
        <w:spacing w:before="0"/>
      </w:pPr>
      <w:r>
        <w:rPr>
          <w:rFonts w:ascii="Times New Roman" w:hAnsi="Times New Roman" w:eastAsia="Microsoft YaHei" w:cs="Times New Roman"/>
          <w:b/>
          <w:i w:val="0"/>
          <w:color w:val="1F2937"/>
          <w:sz w:val="21"/>
        </w:rPr>
        <w:t>Scale, trajectory and localization:</w:t>
      </w:r>
      <w:r>
        <w:rPr>
          <w:rFonts w:ascii="Times New Roman" w:hAnsi="Times New Roman" w:eastAsia="Microsoft YaHei" w:cs="Times New Roman"/>
          <w:b w:val="0"/>
          <w:i w:val="0"/>
          <w:color w:val="1F2937"/>
          <w:sz w:val="21"/>
        </w:rPr>
        <w:t xml:space="preserve"> National-scale store base with continuous menu localization</w:t>
      </w:r>
    </w:p>
    <w:p>
      <w:pPr>
        <w:spacing w:before="0"/>
      </w:pPr>
      <w:r>
        <w:rPr>
          <w:rFonts w:ascii="Times New Roman" w:hAnsi="Times New Roman" w:eastAsia="Microsoft YaHei" w:cs="Times New Roman"/>
          <w:b/>
          <w:i w:val="0"/>
          <w:color w:val="1F2937"/>
          <w:sz w:val="21"/>
        </w:rPr>
        <w:t>Threat / opening for Chipotle:</w:t>
      </w:r>
      <w:r>
        <w:rPr>
          <w:rFonts w:ascii="Times New Roman" w:hAnsi="Times New Roman" w:eastAsia="Microsoft YaHei" w:cs="Times New Roman"/>
          <w:b w:val="0"/>
          <w:i w:val="0"/>
          <w:color w:val="1F2937"/>
          <w:sz w:val="21"/>
        </w:rPr>
        <w:t xml:space="preserve"> Not the closest product competitor; it demonstrates the operating capability and localization depth required for durable scale.</w:t>
      </w:r>
    </w:p>
    <w:p>
      <w:pPr>
        <w:pStyle w:val="Heading2"/>
      </w:pPr>
      <w:r>
        <w:t>Competitive White Space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1F4D78"/>
                <w:sz w:val="21"/>
              </w:rPr>
              <w:t>Potential position</w:t>
            </w:r>
          </w:p>
          <w:p>
            <w:pPr>
              <w:spacing w:after="0"/>
            </w:pPr>
            <w:r>
              <w:rPr>
                <w:rFonts w:ascii="Times New Roman" w:hAnsi="Times New Roman" w:eastAsia="Microsoft YaHei" w:cs="Times New Roman"/>
                <w:b w:val="0"/>
                <w:i w:val="0"/>
                <w:color w:val="1F2937"/>
                <w:sz w:val="20"/>
              </w:rPr>
              <w:t>A substantial, hot, freshly assembled meal with transparent ingredients, strong protein options and more customization than existing healthy-bowl chains.</w:t>
            </w:r>
          </w:p>
        </w:tc>
      </w:tr>
    </w:tbl>
    <w:p>
      <w:pPr>
        <w:spacing w:after="20"/>
      </w:pPr>
    </w:p>
    <w:p>
      <w:pPr>
        <w:spacing w:before="0"/>
      </w:pPr>
      <w:r>
        <w:rPr>
          <w:rFonts w:ascii="Times New Roman" w:hAnsi="Times New Roman" w:eastAsia="Microsoft YaHei" w:cs="Times New Roman"/>
          <w:b w:val="0"/>
          <w:i w:val="0"/>
          <w:color w:val="1F2937"/>
          <w:sz w:val="21"/>
        </w:rPr>
        <w:t>Chipotle can plausibly occupy this space only if Shanghai testing proves repeat purchase rather than one-time curiosity.</w:t>
      </w:r>
    </w:p>
    <w:p>
      <w:pPr>
        <w:pStyle w:val="Heading1"/>
      </w:pPr>
      <w:r>
        <w:t>6. Positioning &amp; Pricing Recommendation</w:t>
      </w:r>
    </w:p>
    <w:p>
      <w:pPr>
        <w:spacing w:before="0"/>
      </w:pPr>
      <w:r>
        <w:rPr>
          <w:rFonts w:ascii="Times New Roman" w:hAnsi="Times New Roman" w:eastAsia="Microsoft YaHei" w:cs="Times New Roman"/>
          <w:b w:val="0"/>
          <w:i w:val="0"/>
          <w:color w:val="1F2937"/>
          <w:sz w:val="21"/>
        </w:rPr>
        <w:t>Recommended positioning: a substantial, freshly assembled hot meal with transparent ingredients and controllable protein. This should be framed around the customer job and meal experience, not around "American Mexican food."</w:t>
      </w:r>
    </w:p>
    <w:tbl>
      <w:tblPr>
        <w:tblStyle w:val="TableGrid"/>
        <w:tblW w:type="dxa" w:w="9360"/>
        <w:jc w:val="center"/>
        <w:tblLayout w:type="fixed"/>
        <w:tblLook w:firstColumn="1" w:firstRow="1" w:lastColumn="0" w:lastRow="0" w:noHBand="0" w:noVBand="1" w:val="04A0"/>
        <w:tblInd w:w="120" w:type="dxa"/>
      </w:tblPr>
      <w:tblGrid>
        <w:gridCol w:w="5200"/>
        <w:gridCol w:w="4160"/>
      </w:tblGrid>
      <w:tr>
        <w:trPr>
          <w:tblHeader w:val="true"/>
        </w:trPr>
        <w:tc>
          <w:tcPr>
            <w:tcW w:type="dxa" w:w="5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Product</w:t>
            </w:r>
          </w:p>
        </w:tc>
        <w:tc>
          <w:tcPr>
            <w:tcW w:type="dxa" w:w="41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Recommended test range</w:t>
            </w:r>
          </w:p>
        </w:tc>
      </w:tr>
      <w:tr>
        <w:tc>
          <w:tcPr>
            <w:tcW w:type="dxa" w:w="5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Chicken or plant-protein bowl</w:t>
            </w:r>
          </w:p>
        </w:tc>
        <w:tc>
          <w:tcPr>
            <w:tcW w:type="dxa" w:w="4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RMB39-45</w:t>
            </w:r>
          </w:p>
        </w:tc>
      </w:tr>
      <w:tr>
        <w:tc>
          <w:tcPr>
            <w:tcW w:type="dxa" w:w="5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Pork bowl</w:t>
            </w:r>
          </w:p>
        </w:tc>
        <w:tc>
          <w:tcPr>
            <w:tcW w:type="dxa" w:w="4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RMB42-48</w:t>
            </w:r>
          </w:p>
        </w:tc>
      </w:tr>
      <w:tr>
        <w:tc>
          <w:tcPr>
            <w:tcW w:type="dxa" w:w="5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Beef bowl</w:t>
            </w:r>
          </w:p>
        </w:tc>
        <w:tc>
          <w:tcPr>
            <w:tcW w:type="dxa" w:w="4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RMB49-58</w:t>
            </w:r>
          </w:p>
        </w:tc>
      </w:tr>
      <w:tr>
        <w:tc>
          <w:tcPr>
            <w:tcW w:type="dxa" w:w="5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Burrito</w:t>
            </w:r>
          </w:p>
        </w:tc>
        <w:tc>
          <w:tcPr>
            <w:tcW w:type="dxa" w:w="4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Similar to equivalent bowl</w:t>
            </w:r>
          </w:p>
        </w:tc>
      </w:tr>
      <w:tr>
        <w:tc>
          <w:tcPr>
            <w:tcW w:type="dxa" w:w="5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Premium/double-protein bowl</w:t>
            </w:r>
          </w:p>
        </w:tc>
        <w:tc>
          <w:tcPr>
            <w:tcW w:type="dxa" w:w="4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RMB59-69</w:t>
            </w:r>
          </w:p>
        </w:tc>
      </w:tr>
      <w:tr>
        <w:tc>
          <w:tcPr>
            <w:tcW w:type="dxa" w:w="5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Meal bundle</w:t>
            </w:r>
          </w:p>
        </w:tc>
        <w:tc>
          <w:tcPr>
            <w:tcW w:type="dxa" w:w="4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RMB52-72</w:t>
            </w:r>
          </w:p>
        </w:tc>
      </w:tr>
    </w:tbl>
    <w:p>
      <w:pPr>
        <w:spacing w:after="20"/>
      </w:pPr>
    </w:p>
    <w:p>
      <w:pPr>
        <w:spacing w:before="0"/>
      </w:pPr>
      <w:r>
        <w:rPr>
          <w:rFonts w:ascii="Times New Roman" w:hAnsi="Times New Roman" w:eastAsia="Microsoft YaHei" w:cs="Times New Roman"/>
          <w:b w:val="0"/>
          <w:i w:val="0"/>
          <w:color w:val="1F2937"/>
          <w:sz w:val="21"/>
        </w:rPr>
        <w:t>The range is derived from the competitive landscape: FOODBOWL sets the workday-frequency benchmark, Wagas frames the premium healthy-lifestyle ceiling, Subway anchors customizable Western convenience and Chinese self-select meals define familiar value. Public Shanghai listings place mainstream FOODBOWL chicken bowls around RMB35-37, beef around RMB47 and premium seafood higher. Final prices require live competitor refresh, purchase-intention, portion, delivery-channel and supplier-margin testing.</w:t>
      </w:r>
    </w:p>
    <w:p>
      <w:pPr>
        <w:pStyle w:val="Heading1"/>
      </w:pPr>
      <w:r>
        <w:t>7. Product and Localization Strategy</w:t>
      </w:r>
    </w:p>
    <w:p>
      <w:pPr>
        <w:pStyle w:val="Heading2"/>
      </w:pPr>
      <w:r>
        <w:t>Retain</w:t>
      </w:r>
    </w:p>
    <w:p>
      <w:pPr>
        <w:pStyle w:val="ListBullet"/>
        <w:spacing w:before="0"/>
      </w:pPr>
      <w:r>
        <w:rPr>
          <w:rFonts w:ascii="Times New Roman" w:hAnsi="Times New Roman" w:eastAsia="Microsoft YaHei" w:cs="Times New Roman"/>
          <w:b w:val="0"/>
          <w:i w:val="0"/>
          <w:color w:val="1F2937"/>
          <w:sz w:val="21"/>
        </w:rPr>
        <w:t>Assembly-line customization.</w:t>
      </w:r>
    </w:p>
    <w:p>
      <w:pPr>
        <w:pStyle w:val="ListBullet"/>
        <w:spacing w:before="0"/>
      </w:pPr>
      <w:r>
        <w:rPr>
          <w:rFonts w:ascii="Times New Roman" w:hAnsi="Times New Roman" w:eastAsia="Microsoft YaHei" w:cs="Times New Roman"/>
          <w:b w:val="0"/>
          <w:i w:val="0"/>
          <w:color w:val="1F2937"/>
          <w:sz w:val="21"/>
        </w:rPr>
        <w:t>Burrito bowls as the hero product.</w:t>
      </w:r>
    </w:p>
    <w:p>
      <w:pPr>
        <w:pStyle w:val="ListBullet"/>
        <w:spacing w:before="0"/>
      </w:pPr>
      <w:r>
        <w:rPr>
          <w:rFonts w:ascii="Times New Roman" w:hAnsi="Times New Roman" w:eastAsia="Microsoft YaHei" w:cs="Times New Roman"/>
          <w:b w:val="0"/>
          <w:i w:val="0"/>
          <w:color w:val="1F2937"/>
          <w:sz w:val="21"/>
        </w:rPr>
        <w:t>Rice, beans, vegetables, multiple proteins and salsa architecture.</w:t>
      </w:r>
    </w:p>
    <w:p>
      <w:pPr>
        <w:pStyle w:val="ListBullet"/>
        <w:spacing w:before="0"/>
      </w:pPr>
      <w:r>
        <w:rPr>
          <w:rFonts w:ascii="Times New Roman" w:hAnsi="Times New Roman" w:eastAsia="Microsoft YaHei" w:cs="Times New Roman"/>
          <w:b w:val="0"/>
          <w:i w:val="0"/>
          <w:color w:val="1F2937"/>
          <w:sz w:val="21"/>
        </w:rPr>
        <w:t>Visible preparation and ingredient transparency.</w:t>
      </w:r>
    </w:p>
    <w:p>
      <w:pPr>
        <w:pStyle w:val="ListBullet"/>
        <w:spacing w:before="0"/>
      </w:pPr>
      <w:r>
        <w:rPr>
          <w:rFonts w:ascii="Times New Roman" w:hAnsi="Times New Roman" w:eastAsia="Microsoft YaHei" w:cs="Times New Roman"/>
          <w:b w:val="0"/>
          <w:i w:val="0"/>
          <w:color w:val="1F2937"/>
          <w:sz w:val="21"/>
        </w:rPr>
        <w:t>Guacamole as a distinctive premium add-on.</w:t>
      </w:r>
    </w:p>
    <w:p>
      <w:pPr>
        <w:pStyle w:val="Heading2"/>
      </w:pPr>
      <w:r>
        <w:t>Test locally</w:t>
      </w:r>
    </w:p>
    <w:p>
      <w:pPr>
        <w:pStyle w:val="ListBullet"/>
        <w:spacing w:before="0"/>
      </w:pPr>
      <w:r>
        <w:rPr>
          <w:rFonts w:ascii="Times New Roman" w:hAnsi="Times New Roman" w:eastAsia="Microsoft YaHei" w:cs="Times New Roman"/>
          <w:b w:val="0"/>
          <w:i w:val="0"/>
          <w:color w:val="1F2937"/>
          <w:sz w:val="21"/>
        </w:rPr>
        <w:t>Warm vegetables and sauces.</w:t>
      </w:r>
    </w:p>
    <w:p>
      <w:pPr>
        <w:pStyle w:val="ListBullet"/>
        <w:spacing w:before="0"/>
      </w:pPr>
      <w:r>
        <w:rPr>
          <w:rFonts w:ascii="Times New Roman" w:hAnsi="Times New Roman" w:eastAsia="Microsoft YaHei" w:cs="Times New Roman"/>
          <w:b w:val="0"/>
          <w:i w:val="0"/>
          <w:color w:val="1F2937"/>
          <w:sz w:val="21"/>
        </w:rPr>
        <w:t>At least two spice profiles familiar to Shanghai consumers.</w:t>
      </w:r>
    </w:p>
    <w:p>
      <w:pPr>
        <w:pStyle w:val="ListBullet"/>
        <w:spacing w:before="0"/>
      </w:pPr>
      <w:r>
        <w:rPr>
          <w:rFonts w:ascii="Times New Roman" w:hAnsi="Times New Roman" w:eastAsia="Microsoft YaHei" w:cs="Times New Roman"/>
          <w:b w:val="0"/>
          <w:i w:val="0"/>
          <w:color w:val="1F2937"/>
          <w:sz w:val="21"/>
        </w:rPr>
        <w:t>A less cilantro-dependent option.</w:t>
      </w:r>
    </w:p>
    <w:p>
      <w:pPr>
        <w:pStyle w:val="ListBullet"/>
        <w:spacing w:before="0"/>
      </w:pPr>
      <w:r>
        <w:rPr>
          <w:rFonts w:ascii="Times New Roman" w:hAnsi="Times New Roman" w:eastAsia="Microsoft YaHei" w:cs="Times New Roman"/>
          <w:b w:val="0"/>
          <w:i w:val="0"/>
          <w:color w:val="1F2937"/>
          <w:sz w:val="21"/>
        </w:rPr>
        <w:t>Chicken, pork and beef recipes calibrated for local preference.</w:t>
      </w:r>
    </w:p>
    <w:p>
      <w:pPr>
        <w:pStyle w:val="ListBullet"/>
        <w:spacing w:before="0"/>
      </w:pPr>
      <w:r>
        <w:rPr>
          <w:rFonts w:ascii="Times New Roman" w:hAnsi="Times New Roman" w:eastAsia="Microsoft YaHei" w:cs="Times New Roman"/>
          <w:b w:val="0"/>
          <w:i w:val="0"/>
          <w:color w:val="1F2937"/>
          <w:sz w:val="21"/>
        </w:rPr>
        <w:t>Seasonal limited-time flavors.</w:t>
      </w:r>
    </w:p>
    <w:p>
      <w:pPr>
        <w:pStyle w:val="ListBullet"/>
        <w:spacing w:before="0"/>
      </w:pPr>
      <w:r>
        <w:rPr>
          <w:rFonts w:ascii="Times New Roman" w:hAnsi="Times New Roman" w:eastAsia="Microsoft YaHei" w:cs="Times New Roman"/>
          <w:b w:val="0"/>
          <w:i w:val="0"/>
          <w:color w:val="1F2937"/>
          <w:sz w:val="21"/>
        </w:rPr>
        <w:t>Smaller lunch portion and high-protein version.</w:t>
      </w:r>
    </w:p>
    <w:p>
      <w:pPr>
        <w:pStyle w:val="ListBullet"/>
        <w:spacing w:before="0"/>
      </w:pPr>
      <w:r>
        <w:rPr>
          <w:rFonts w:ascii="Times New Roman" w:hAnsi="Times New Roman" w:eastAsia="Microsoft YaHei" w:cs="Times New Roman"/>
          <w:b w:val="0"/>
          <w:i w:val="0"/>
          <w:color w:val="1F2937"/>
          <w:sz w:val="21"/>
        </w:rPr>
        <w:t>Delivery packaging that protects hot and cold components.</w:t>
      </w:r>
    </w:p>
    <w:p>
      <w:pPr>
        <w:spacing w:before="0"/>
      </w:pPr>
      <w:r>
        <w:rPr>
          <w:rFonts w:ascii="Times New Roman" w:hAnsi="Times New Roman" w:eastAsia="Microsoft YaHei" w:cs="Times New Roman"/>
          <w:b w:val="0"/>
          <w:i w:val="0"/>
          <w:color w:val="1F2937"/>
          <w:sz w:val="21"/>
        </w:rPr>
        <w:t>Localize flavor and occasion without turning Chipotle into a generic Chinese rice-bowl brand.</w:t>
      </w:r>
    </w:p>
    <w:p>
      <w:pPr>
        <w:pStyle w:val="Heading1"/>
      </w:pPr>
      <w:r>
        <w:t>8. SWOT</w:t>
      </w:r>
    </w:p>
    <w:p>
      <w:pPr>
        <w:pStyle w:val="Heading2"/>
      </w:pPr>
      <w:r>
        <w:t>Strengths</w:t>
      </w:r>
    </w:p>
    <w:p>
      <w:pPr>
        <w:pStyle w:val="ListBullet"/>
        <w:spacing w:before="0"/>
      </w:pPr>
      <w:r>
        <w:rPr>
          <w:rFonts w:ascii="Times New Roman" w:hAnsi="Times New Roman" w:eastAsia="Microsoft YaHei" w:cs="Times New Roman"/>
          <w:b w:val="0"/>
          <w:i w:val="0"/>
          <w:color w:val="1F2937"/>
          <w:sz w:val="21"/>
        </w:rPr>
        <w:t>Globally proven customizable operating model.</w:t>
      </w:r>
    </w:p>
    <w:p>
      <w:pPr>
        <w:pStyle w:val="ListBullet"/>
        <w:spacing w:before="0"/>
      </w:pPr>
      <w:r>
        <w:rPr>
          <w:rFonts w:ascii="Times New Roman" w:hAnsi="Times New Roman" w:eastAsia="Microsoft YaHei" w:cs="Times New Roman"/>
          <w:b w:val="0"/>
          <w:i w:val="0"/>
          <w:color w:val="1F2937"/>
          <w:sz w:val="21"/>
        </w:rPr>
        <w:t>Visible preparation and ingredient story.</w:t>
      </w:r>
    </w:p>
    <w:p>
      <w:pPr>
        <w:pStyle w:val="ListBullet"/>
        <w:spacing w:before="0"/>
      </w:pPr>
      <w:r>
        <w:rPr>
          <w:rFonts w:ascii="Times New Roman" w:hAnsi="Times New Roman" w:eastAsia="Microsoft YaHei" w:cs="Times New Roman"/>
          <w:b w:val="0"/>
          <w:i w:val="0"/>
          <w:color w:val="1F2937"/>
          <w:sz w:val="21"/>
        </w:rPr>
        <w:t>Bowl format transfers better than tacos alone.</w:t>
      </w:r>
    </w:p>
    <w:p>
      <w:pPr>
        <w:pStyle w:val="ListBullet"/>
        <w:spacing w:before="0"/>
      </w:pPr>
      <w:r>
        <w:rPr>
          <w:rFonts w:ascii="Times New Roman" w:hAnsi="Times New Roman" w:eastAsia="Microsoft YaHei" w:cs="Times New Roman"/>
          <w:b w:val="0"/>
          <w:i w:val="0"/>
          <w:color w:val="1F2937"/>
          <w:sz w:val="21"/>
        </w:rPr>
        <w:t>US$10 million supports genuine testing.</w:t>
      </w:r>
    </w:p>
    <w:p>
      <w:pPr>
        <w:pStyle w:val="Heading2"/>
      </w:pPr>
      <w:r>
        <w:t>Weaknesses</w:t>
      </w:r>
    </w:p>
    <w:p>
      <w:pPr>
        <w:pStyle w:val="ListBullet"/>
        <w:spacing w:before="0"/>
      </w:pPr>
      <w:r>
        <w:rPr>
          <w:rFonts w:ascii="Times New Roman" w:hAnsi="Times New Roman" w:eastAsia="Microsoft YaHei" w:cs="Times New Roman"/>
          <w:b w:val="0"/>
          <w:i w:val="0"/>
          <w:color w:val="1F2937"/>
          <w:sz w:val="21"/>
        </w:rPr>
        <w:t>Minimal mainstream Shanghai awareness.</w:t>
      </w:r>
    </w:p>
    <w:p>
      <w:pPr>
        <w:pStyle w:val="ListBullet"/>
        <w:spacing w:before="0"/>
      </w:pPr>
      <w:r>
        <w:rPr>
          <w:rFonts w:ascii="Times New Roman" w:hAnsi="Times New Roman" w:eastAsia="Microsoft YaHei" w:cs="Times New Roman"/>
          <w:b w:val="0"/>
          <w:i w:val="0"/>
          <w:color w:val="1F2937"/>
          <w:sz w:val="21"/>
        </w:rPr>
        <w:t>Some core flavors may require adaptation.</w:t>
      </w:r>
    </w:p>
    <w:p>
      <w:pPr>
        <w:pStyle w:val="ListBullet"/>
        <w:spacing w:before="0"/>
      </w:pPr>
      <w:r>
        <w:rPr>
          <w:rFonts w:ascii="Times New Roman" w:hAnsi="Times New Roman" w:eastAsia="Microsoft YaHei" w:cs="Times New Roman"/>
          <w:b w:val="0"/>
          <w:i w:val="0"/>
          <w:color w:val="1F2937"/>
          <w:sz w:val="21"/>
        </w:rPr>
        <w:t>Food with Integrity standards may constrain suppliers.</w:t>
      </w:r>
    </w:p>
    <w:p>
      <w:pPr>
        <w:pStyle w:val="ListBullet"/>
        <w:spacing w:before="0"/>
      </w:pPr>
      <w:r>
        <w:rPr>
          <w:rFonts w:ascii="Times New Roman" w:hAnsi="Times New Roman" w:eastAsia="Microsoft YaHei" w:cs="Times New Roman"/>
          <w:b w:val="0"/>
          <w:i w:val="0"/>
          <w:color w:val="1F2937"/>
          <w:sz w:val="21"/>
        </w:rPr>
        <w:t>No established China partner or digital ecosystem.</w:t>
      </w:r>
    </w:p>
    <w:p>
      <w:pPr>
        <w:pStyle w:val="Heading2"/>
      </w:pPr>
      <w:r>
        <w:t>Opportunities</w:t>
      </w:r>
    </w:p>
    <w:p>
      <w:pPr>
        <w:pStyle w:val="ListBullet"/>
        <w:spacing w:before="0"/>
      </w:pPr>
      <w:r>
        <w:rPr>
          <w:rFonts w:ascii="Times New Roman" w:hAnsi="Times New Roman" w:eastAsia="Microsoft YaHei" w:cs="Times New Roman"/>
          <w:b w:val="0"/>
          <w:i w:val="0"/>
          <w:color w:val="1F2937"/>
          <w:sz w:val="21"/>
        </w:rPr>
        <w:t>High-income, internationally exposed starting city.</w:t>
      </w:r>
    </w:p>
    <w:p>
      <w:pPr>
        <w:pStyle w:val="ListBullet"/>
        <w:spacing w:before="0"/>
      </w:pPr>
      <w:r>
        <w:rPr>
          <w:rFonts w:ascii="Times New Roman" w:hAnsi="Times New Roman" w:eastAsia="Microsoft YaHei" w:cs="Times New Roman"/>
          <w:b w:val="0"/>
          <w:i w:val="0"/>
          <w:color w:val="1F2937"/>
          <w:sz w:val="21"/>
        </w:rPr>
        <w:t>Existing energy-bowl demand reduces format education.</w:t>
      </w:r>
    </w:p>
    <w:p>
      <w:pPr>
        <w:pStyle w:val="ListBullet"/>
        <w:spacing w:before="0"/>
      </w:pPr>
      <w:r>
        <w:rPr>
          <w:rFonts w:ascii="Times New Roman" w:hAnsi="Times New Roman" w:eastAsia="Microsoft YaHei" w:cs="Times New Roman"/>
          <w:b w:val="0"/>
          <w:i w:val="0"/>
          <w:color w:val="1F2937"/>
          <w:sz w:val="21"/>
        </w:rPr>
        <w:t>Potential gap for a hot, filling, transparent bowl.</w:t>
      </w:r>
    </w:p>
    <w:p>
      <w:pPr>
        <w:pStyle w:val="ListBullet"/>
        <w:spacing w:before="0"/>
      </w:pPr>
      <w:r>
        <w:rPr>
          <w:rFonts w:ascii="Times New Roman" w:hAnsi="Times New Roman" w:eastAsia="Microsoft YaHei" w:cs="Times New Roman"/>
          <w:b w:val="0"/>
          <w:i w:val="0"/>
          <w:color w:val="1F2937"/>
          <w:sz w:val="21"/>
        </w:rPr>
        <w:t>Corporate catering and inbound tourism can support trial.</w:t>
      </w:r>
    </w:p>
    <w:p>
      <w:pPr>
        <w:pStyle w:val="Heading2"/>
      </w:pPr>
      <w:r>
        <w:t>Threats</w:t>
      </w:r>
    </w:p>
    <w:p>
      <w:pPr>
        <w:pStyle w:val="ListBullet"/>
        <w:spacing w:before="0"/>
      </w:pPr>
      <w:r>
        <w:rPr>
          <w:rFonts w:ascii="Times New Roman" w:hAnsi="Times New Roman" w:eastAsia="Microsoft YaHei" w:cs="Times New Roman"/>
          <w:b w:val="0"/>
          <w:i w:val="0"/>
          <w:color w:val="1F2937"/>
          <w:sz w:val="21"/>
        </w:rPr>
        <w:t>Taco Bell contraction signals a category ceiling.</w:t>
      </w:r>
    </w:p>
    <w:p>
      <w:pPr>
        <w:pStyle w:val="ListBullet"/>
        <w:spacing w:before="0"/>
      </w:pPr>
      <w:r>
        <w:rPr>
          <w:rFonts w:ascii="Times New Roman" w:hAnsi="Times New Roman" w:eastAsia="Microsoft YaHei" w:cs="Times New Roman"/>
          <w:b w:val="0"/>
          <w:i w:val="0"/>
          <w:color w:val="1F2937"/>
          <w:sz w:val="21"/>
        </w:rPr>
        <w:t>FOODBOWL competes at a lower repeat-purchase price.</w:t>
      </w:r>
    </w:p>
    <w:p>
      <w:pPr>
        <w:pStyle w:val="ListBullet"/>
        <w:spacing w:before="0"/>
      </w:pPr>
      <w:r>
        <w:rPr>
          <w:rFonts w:ascii="Times New Roman" w:hAnsi="Times New Roman" w:eastAsia="Microsoft YaHei" w:cs="Times New Roman"/>
          <w:b w:val="0"/>
          <w:i w:val="0"/>
          <w:color w:val="1F2937"/>
          <w:sz w:val="21"/>
        </w:rPr>
        <w:t>Subway owns fresh and customizable attributes.</w:t>
      </w:r>
    </w:p>
    <w:p>
      <w:pPr>
        <w:pStyle w:val="ListBullet"/>
        <w:spacing w:before="0"/>
      </w:pPr>
      <w:r>
        <w:rPr>
          <w:rFonts w:ascii="Times New Roman" w:hAnsi="Times New Roman" w:eastAsia="Microsoft YaHei" w:cs="Times New Roman"/>
          <w:b w:val="0"/>
          <w:i w:val="0"/>
          <w:color w:val="1F2937"/>
          <w:sz w:val="21"/>
        </w:rPr>
        <w:t>Chinese self-select meals offer familiarity and variety.</w:t>
      </w:r>
    </w:p>
    <w:p>
      <w:pPr>
        <w:pStyle w:val="ListBullet"/>
        <w:spacing w:before="0"/>
      </w:pPr>
      <w:r>
        <w:rPr>
          <w:rFonts w:ascii="Times New Roman" w:hAnsi="Times New Roman" w:eastAsia="Microsoft YaHei" w:cs="Times New Roman"/>
          <w:b w:val="0"/>
          <w:i w:val="0"/>
          <w:color w:val="1F2937"/>
          <w:sz w:val="21"/>
        </w:rPr>
        <w:t>Delivery discounts can undermine margins.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DECEC"/>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9B1C1C"/>
                <w:sz w:val="21"/>
              </w:rPr>
              <w:t>Red Flags</w:t>
            </w:r>
          </w:p>
          <w:p>
            <w:pPr>
              <w:spacing w:after="0"/>
            </w:pPr>
            <w:r>
              <w:rPr>
                <w:rFonts w:ascii="Times New Roman" w:hAnsi="Times New Roman" w:eastAsia="Microsoft YaHei" w:cs="Times New Roman"/>
                <w:b w:val="0"/>
                <w:i w:val="0"/>
                <w:color w:val="1F2937"/>
                <w:sz w:val="20"/>
              </w:rPr>
              <w:t>1. Mexican-inspired flavors must demonstrate repeat purchase, not just trial.</w:t>
              <w:br/>
              <w:t>2. Local suppliers must meet Chipotle food-safety and sourcing standards at viable cost.</w:t>
              <w:br/>
              <w:t>Failure on either condition changes the recommendation to No-Go.</w:t>
            </w:r>
          </w:p>
        </w:tc>
      </w:tr>
    </w:tbl>
    <w:p>
      <w:pPr>
        <w:spacing w:after="20"/>
      </w:pPr>
    </w:p>
    <w:p>
      <w:r>
        <w:br w:type="page"/>
      </w:r>
    </w:p>
    <w:p>
      <w:pPr>
        <w:pStyle w:val="Heading1"/>
      </w:pPr>
      <w:r>
        <w:t>9. Feasibility Score</w:t>
      </w:r>
    </w:p>
    <w:tbl>
      <w:tblPr>
        <w:tblStyle w:val="TableGrid"/>
        <w:tblW w:type="dxa" w:w="9360"/>
        <w:jc w:val="center"/>
        <w:tblLayout w:type="fixed"/>
        <w:tblLook w:firstColumn="1" w:firstRow="1" w:lastColumn="0" w:lastRow="0" w:noHBand="0" w:noVBand="1" w:val="04A0"/>
        <w:tblInd w:w="120" w:type="dxa"/>
      </w:tblPr>
      <w:tblGrid>
        <w:gridCol w:w="4600"/>
        <w:gridCol w:w="1400"/>
        <w:gridCol w:w="1400"/>
        <w:gridCol w:w="1960"/>
      </w:tblGrid>
      <w:tr>
        <w:trPr>
          <w:tblHeader w:val="true"/>
        </w:trPr>
        <w:tc>
          <w:tcPr>
            <w:tcW w:type="dxa" w:w="46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Dimension</w:t>
            </w:r>
          </w:p>
        </w:tc>
        <w:tc>
          <w:tcPr>
            <w:tcW w:type="dxa" w:w="14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Weight</w:t>
            </w:r>
          </w:p>
        </w:tc>
        <w:tc>
          <w:tcPr>
            <w:tcW w:type="dxa" w:w="14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Score</w:t>
            </w:r>
          </w:p>
        </w:tc>
        <w:tc>
          <w:tcPr>
            <w:tcW w:type="dxa" w:w="19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Weighted</w:t>
            </w:r>
          </w:p>
        </w:tc>
      </w:tr>
      <w:tr>
        <w:tc>
          <w:tcPr>
            <w:tcW w:type="dxa" w:w="4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Market Demand Potential</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30%</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6.5</w:t>
            </w:r>
          </w:p>
        </w:tc>
        <w:tc>
          <w:tcPr>
            <w:tcW w:type="dxa" w:w="19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1.95</w:t>
            </w:r>
          </w:p>
        </w:tc>
      </w:tr>
      <w:tr>
        <w:tc>
          <w:tcPr>
            <w:tcW w:type="dxa" w:w="46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Product-Market Fit</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25%</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6.5</w:t>
            </w:r>
          </w:p>
        </w:tc>
        <w:tc>
          <w:tcPr>
            <w:tcW w:type="dxa" w:w="19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1.63</w:t>
            </w:r>
          </w:p>
        </w:tc>
      </w:tr>
      <w:tr>
        <w:tc>
          <w:tcPr>
            <w:tcW w:type="dxa" w:w="4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Competitive Landscape</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20%</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5.0</w:t>
            </w:r>
          </w:p>
        </w:tc>
        <w:tc>
          <w:tcPr>
            <w:tcW w:type="dxa" w:w="19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1.00</w:t>
            </w:r>
          </w:p>
        </w:tc>
      </w:tr>
      <w:tr>
        <w:tc>
          <w:tcPr>
            <w:tcW w:type="dxa" w:w="46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Regulatory &amp; Entry Risk</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15%</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7.5</w:t>
            </w:r>
          </w:p>
        </w:tc>
        <w:tc>
          <w:tcPr>
            <w:tcW w:type="dxa" w:w="19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1.13</w:t>
            </w:r>
          </w:p>
        </w:tc>
      </w:tr>
      <w:tr>
        <w:tc>
          <w:tcPr>
            <w:tcW w:type="dxa" w:w="4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Entry Cost &amp; Operational Complexity</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10%</w:t>
            </w:r>
          </w:p>
        </w:tc>
        <w:tc>
          <w:tcPr>
            <w:tcW w:type="dxa" w:w="1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7.0</w:t>
            </w:r>
          </w:p>
        </w:tc>
        <w:tc>
          <w:tcPr>
            <w:tcW w:type="dxa" w:w="19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0.70</w:t>
            </w:r>
          </w:p>
        </w:tc>
      </w:tr>
      <w:tr>
        <w:tc>
          <w:tcPr>
            <w:tcW w:type="dxa" w:w="46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Composite</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100%</w:t>
            </w:r>
          </w:p>
        </w:tc>
        <w:tc>
          <w:tcPr>
            <w:tcW w:type="dxa" w:w="1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r>
          </w:p>
        </w:tc>
        <w:tc>
          <w:tcPr>
            <w:tcW w:type="dxa" w:w="19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6.5 / 10</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7E6"/>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7A5A00"/>
                <w:sz w:val="21"/>
              </w:rPr>
              <w:t>Recommendation: Conditional Go</w:t>
            </w:r>
          </w:p>
          <w:p>
            <w:pPr>
              <w:spacing w:after="0"/>
            </w:pPr>
            <w:r>
              <w:rPr>
                <w:rFonts w:ascii="Times New Roman" w:hAnsi="Times New Roman" w:eastAsia="Microsoft YaHei" w:cs="Times New Roman"/>
                <w:b w:val="0"/>
                <w:i w:val="0"/>
                <w:color w:val="1F2937"/>
                <w:sz w:val="20"/>
              </w:rPr>
              <w:t>The increased budget makes entry cost manageable, but it does not resolve demand and competitive uncertainty. Proceed only with primary research, sequential store openings, predominantly local sourcing, repeat-demand evidence and a 15-20% reserve.</w:t>
            </w:r>
          </w:p>
        </w:tc>
      </w:tr>
    </w:tbl>
    <w:p>
      <w:pPr>
        <w:spacing w:after="20"/>
      </w:pPr>
    </w:p>
    <w:p>
      <w:pPr>
        <w:pStyle w:val="Heading1"/>
      </w:pPr>
      <w:r>
        <w:t>10. Proposed US$10 Million Allocation</w:t>
      </w:r>
    </w:p>
    <w:tbl>
      <w:tblPr>
        <w:tblStyle w:val="TableGrid"/>
        <w:tblW w:type="dxa" w:w="9360"/>
        <w:jc w:val="center"/>
        <w:tblLayout w:type="fixed"/>
        <w:tblLook w:firstColumn="1" w:firstRow="1" w:lastColumn="0" w:lastRow="0" w:noHBand="0" w:noVBand="1" w:val="04A0"/>
        <w:tblInd w:w="120" w:type="dxa"/>
      </w:tblPr>
      <w:tblGrid>
        <w:gridCol w:w="7200"/>
        <w:gridCol w:w="2160"/>
      </w:tblGrid>
      <w:tr>
        <w:trPr>
          <w:tblHeader w:val="true"/>
        </w:trPr>
        <w:tc>
          <w:tcPr>
            <w:tcW w:type="dxa" w:w="7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Area</w:t>
            </w:r>
          </w:p>
        </w:tc>
        <w:tc>
          <w:tcPr>
            <w:tcW w:type="dxa" w:w="21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8"/>
              </w:rPr>
              <w:t>Budget</w:t>
            </w:r>
          </w:p>
        </w:tc>
      </w:tr>
      <w:tr>
        <w:tc>
          <w:tcPr>
            <w:tcW w:type="dxa" w:w="7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Consumer research, concept and pricing validation</w:t>
            </w:r>
          </w:p>
        </w:tc>
        <w:tc>
          <w:tcPr>
            <w:tcW w:type="dxa" w:w="2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$350,000</w:t>
            </w:r>
          </w:p>
        </w:tc>
      </w:tr>
      <w:tr>
        <w:tc>
          <w:tcPr>
            <w:tcW w:type="dxa" w:w="7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Entity, legal, tax, IP and regulatory setup</w:t>
            </w:r>
          </w:p>
        </w:tc>
        <w:tc>
          <w:tcPr>
            <w:tcW w:type="dxa" w:w="2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$450,000</w:t>
            </w:r>
          </w:p>
        </w:tc>
      </w:tr>
      <w:tr>
        <w:tc>
          <w:tcPr>
            <w:tcW w:type="dxa" w:w="7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Supplier development and menu localization</w:t>
            </w:r>
          </w:p>
        </w:tc>
        <w:tc>
          <w:tcPr>
            <w:tcW w:type="dxa" w:w="2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$900,000</w:t>
            </w:r>
          </w:p>
        </w:tc>
      </w:tr>
      <w:tr>
        <w:tc>
          <w:tcPr>
            <w:tcW w:type="dxa" w:w="7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Three pilot stores, equipment and construction</w:t>
            </w:r>
          </w:p>
        </w:tc>
        <w:tc>
          <w:tcPr>
            <w:tcW w:type="dxa" w:w="2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$4,500,000</w:t>
            </w:r>
          </w:p>
        </w:tc>
      </w:tr>
      <w:tr>
        <w:tc>
          <w:tcPr>
            <w:tcW w:type="dxa" w:w="7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Recruitment, training and pre-opening operations</w:t>
            </w:r>
          </w:p>
        </w:tc>
        <w:tc>
          <w:tcPr>
            <w:tcW w:type="dxa" w:w="2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$850,000</w:t>
            </w:r>
          </w:p>
        </w:tc>
      </w:tr>
      <w:tr>
        <w:tc>
          <w:tcPr>
            <w:tcW w:type="dxa" w:w="7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Brand launch, digital systems and delivery integration</w:t>
            </w:r>
          </w:p>
        </w:tc>
        <w:tc>
          <w:tcPr>
            <w:tcW w:type="dxa" w:w="2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$1,150,000</w:t>
            </w:r>
          </w:p>
        </w:tc>
      </w:tr>
      <w:tr>
        <w:tc>
          <w:tcPr>
            <w:tcW w:type="dxa" w:w="7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Working capital and contingency</w:t>
            </w:r>
          </w:p>
        </w:tc>
        <w:tc>
          <w:tcPr>
            <w:tcW w:type="dxa" w:w="21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$1,800,000</w:t>
            </w:r>
          </w:p>
        </w:tc>
      </w:tr>
      <w:tr>
        <w:tc>
          <w:tcPr>
            <w:tcW w:type="dxa" w:w="7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Total</w:t>
            </w:r>
          </w:p>
        </w:tc>
        <w:tc>
          <w:tcPr>
            <w:tcW w:type="dxa" w:w="21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8"/>
              </w:rPr>
              <w:t>$10,000,000</w:t>
            </w:r>
          </w:p>
        </w:tc>
      </w:tr>
    </w:tbl>
    <w:p>
      <w:pPr>
        <w:spacing w:after="20"/>
      </w:pPr>
    </w:p>
    <w:p>
      <w:pPr>
        <w:spacing w:before="0"/>
      </w:pPr>
      <w:r>
        <w:rPr>
          <w:rFonts w:ascii="Times New Roman" w:hAnsi="Times New Roman" w:eastAsia="Microsoft YaHei" w:cs="Times New Roman"/>
          <w:b w:val="0"/>
          <w:i w:val="0"/>
          <w:color w:val="1F2937"/>
          <w:sz w:val="21"/>
        </w:rPr>
        <w:t>This is a planning allocation, not a contractor quotation. Chipotle reported average 2025 US restaurant development and construction cost of approximately $1.5 million, or $1.3 million after landlord reimbursement.</w:t>
      </w:r>
    </w:p>
    <w:p>
      <w:pPr>
        <w:pStyle w:val="Heading1"/>
      </w:pPr>
      <w:r>
        <w:t>11. Recommendations</w:t>
      </w:r>
    </w:p>
    <w:p>
      <w:pPr>
        <w:pStyle w:val="Heading2"/>
      </w:pPr>
      <w:r>
        <w:t>Go-to-Market Strategy</w:t>
      </w:r>
    </w:p>
    <w:p>
      <w:pPr>
        <w:pStyle w:val="ListBullet"/>
        <w:spacing w:before="0"/>
      </w:pPr>
      <w:r>
        <w:rPr>
          <w:rFonts w:ascii="Times New Roman" w:hAnsi="Times New Roman" w:eastAsia="Microsoft YaHei" w:cs="Times New Roman"/>
          <w:b w:val="0"/>
          <w:i w:val="0"/>
          <w:color w:val="1F2937"/>
          <w:sz w:val="21"/>
        </w:rPr>
        <w:t>Positioning: a substantial, freshly assembled hot meal with transparent ingredients and controllable protein—not simply “American Mexican food.”</w:t>
      </w:r>
    </w:p>
    <w:p>
      <w:pPr>
        <w:pStyle w:val="ListBullet"/>
        <w:spacing w:before="0"/>
      </w:pPr>
      <w:r>
        <w:rPr>
          <w:rFonts w:ascii="Times New Roman" w:hAnsi="Times New Roman" w:eastAsia="Microsoft YaHei" w:cs="Times New Roman"/>
          <w:b w:val="0"/>
          <w:i w:val="0"/>
          <w:color w:val="1F2937"/>
          <w:sz w:val="21"/>
        </w:rPr>
        <w:t>Audience: prioritize 25-39-year-old office professionals in dense commercial districts; use fitness, overseas-educated and inbound consumers as trial accelerators.</w:t>
      </w:r>
    </w:p>
    <w:p>
      <w:pPr>
        <w:pStyle w:val="ListBullet"/>
        <w:spacing w:before="0"/>
      </w:pPr>
      <w:r>
        <w:rPr>
          <w:rFonts w:ascii="Times New Roman" w:hAnsi="Times New Roman" w:eastAsia="Microsoft YaHei" w:cs="Times New Roman"/>
          <w:b w:val="0"/>
          <w:i w:val="0"/>
          <w:color w:val="1F2937"/>
          <w:sz w:val="21"/>
        </w:rPr>
        <w:t>Product: launch with bowls as the hero format, a deliberately narrow menu, two locally resonant flavor routes and clear nutrition/ingredient communication.</w:t>
      </w:r>
    </w:p>
    <w:p>
      <w:pPr>
        <w:pStyle w:val="ListBullet"/>
        <w:spacing w:before="0"/>
      </w:pPr>
      <w:r>
        <w:rPr>
          <w:rFonts w:ascii="Times New Roman" w:hAnsi="Times New Roman" w:eastAsia="Microsoft YaHei" w:cs="Times New Roman"/>
          <w:b w:val="0"/>
          <w:i w:val="0"/>
          <w:color w:val="1F2937"/>
          <w:sz w:val="21"/>
        </w:rPr>
        <w:t>Price: anchor chicken or plant bowls at RMB39-45 and keep an everyday entry option below RMB45; treat delivery discounts as acquisition spend, not permanent pricing.</w:t>
      </w:r>
    </w:p>
    <w:p>
      <w:pPr>
        <w:pStyle w:val="ListBullet"/>
        <w:spacing w:before="0"/>
      </w:pPr>
      <w:r>
        <w:rPr>
          <w:rFonts w:ascii="Times New Roman" w:hAnsi="Times New Roman" w:eastAsia="Microsoft YaHei" w:cs="Times New Roman"/>
          <w:b w:val="0"/>
          <w:i w:val="0"/>
          <w:color w:val="1F2937"/>
          <w:sz w:val="21"/>
        </w:rPr>
        <w:t>Channels: combine visible flagship-style stores with pickup, delivery, corporate lunch and group ordering; design packaging and labor flow for channel consistency.</w:t>
      </w:r>
    </w:p>
    <w:p>
      <w:pPr>
        <w:pStyle w:val="ListBullet"/>
        <w:spacing w:before="0"/>
      </w:pPr>
      <w:r>
        <w:rPr>
          <w:rFonts w:ascii="Times New Roman" w:hAnsi="Times New Roman" w:eastAsia="Microsoft YaHei" w:cs="Times New Roman"/>
          <w:b w:val="0"/>
          <w:i w:val="0"/>
          <w:color w:val="1F2937"/>
          <w:sz w:val="21"/>
        </w:rPr>
        <w:t>Demand creation: lead with tasting, office-community seeding, fitness partnerships and limited-time local flavors; measure second and third purchase rather than reach alone.</w:t>
      </w:r>
    </w:p>
    <w:p>
      <w:pPr>
        <w:pStyle w:val="Heading2"/>
      </w:pPr>
      <w:r>
        <w:t>Partner Strategy</w:t>
      </w:r>
    </w:p>
    <w:p>
      <w:pPr>
        <w:spacing w:before="0"/>
      </w:pPr>
      <w:r>
        <w:rPr>
          <w:rFonts w:ascii="Times New Roman" w:hAnsi="Times New Roman" w:eastAsia="Microsoft YaHei" w:cs="Times New Roman"/>
          <w:b w:val="0"/>
          <w:i w:val="0"/>
          <w:color w:val="1F2937"/>
          <w:sz w:val="21"/>
        </w:rPr>
        <w:t>A full brand license or equity joint venture is not recommended before product-market fit is proven. Chipotle should retain brand, menu, data and food-safety control while using specialist local partners to reduce execution risk.</w:t>
      </w:r>
    </w:p>
    <w:tbl>
      <w:tblPr>
        <w:tblStyle w:val="TableGrid"/>
        <w:tblW w:type="dxa" w:w="9360"/>
        <w:jc w:val="center"/>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Partner need</w:t>
            </w:r>
          </w:p>
        </w:tc>
        <w:tc>
          <w:tcPr>
            <w:tcW w:type="dxa" w:w="36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Recommended role</w:t>
            </w:r>
          </w:p>
        </w:tc>
        <w:tc>
          <w:tcPr>
            <w:tcW w:type="dxa" w:w="38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Selection criteria</w:t>
            </w:r>
          </w:p>
        </w:tc>
      </w:tr>
      <w:tr>
        <w:tc>
          <w:tcPr>
            <w:tcW w:type="dxa" w:w="19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Restaurant development</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Site search, lease negotiation, permitting and construction</w:t>
            </w:r>
          </w:p>
        </w:tc>
        <w:tc>
          <w:tcPr>
            <w:tcW w:type="dxa" w:w="38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Shanghai fast-casual track record; landlord access; transparent fees</w:t>
            </w:r>
          </w:p>
        </w:tc>
      </w:tr>
      <w:tr>
        <w:tc>
          <w:tcPr>
            <w:tcW w:type="dxa" w:w="19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Supply chain</w:t>
            </w:r>
          </w:p>
        </w:tc>
        <w:tc>
          <w:tcPr>
            <w:tcW w:type="dxa" w:w="36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Qualify local proteins, produce, cold chain and contingency supply</w:t>
            </w:r>
          </w:p>
        </w:tc>
        <w:tc>
          <w:tcPr>
            <w:tcW w:type="dxa" w:w="38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Traceability; audit readiness; multi-store consistency; viable cost</w:t>
            </w:r>
          </w:p>
        </w:tc>
      </w:tr>
      <w:tr>
        <w:tc>
          <w:tcPr>
            <w:tcW w:type="dxa" w:w="19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Digital and delivery</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Local ordering, CRM, payments and platform operations</w:t>
            </w:r>
          </w:p>
        </w:tc>
        <w:tc>
          <w:tcPr>
            <w:tcW w:type="dxa" w:w="38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Data compliance; measurable customer ownership; integration capability</w:t>
            </w:r>
          </w:p>
        </w:tc>
      </w:tr>
      <w:tr>
        <w:tc>
          <w:tcPr>
            <w:tcW w:type="dxa" w:w="19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Research</w:t>
            </w:r>
          </w:p>
        </w:tc>
        <w:tc>
          <w:tcPr>
            <w:tcW w:type="dxa" w:w="36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Concept, taste, price and repeat-intent validation</w:t>
            </w:r>
          </w:p>
        </w:tc>
        <w:tc>
          <w:tcPr>
            <w:tcW w:type="dxa" w:w="38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Behavioral testing capability; not survey-only; independent reporting</w:t>
            </w:r>
          </w:p>
        </w:tc>
      </w:tr>
    </w:tbl>
    <w:p>
      <w:pPr>
        <w:spacing w:after="20"/>
      </w:pPr>
    </w:p>
    <w:p>
      <w:pPr>
        <w:spacing w:before="0"/>
      </w:pPr>
      <w:r>
        <w:rPr>
          <w:rFonts w:ascii="Times New Roman" w:hAnsi="Times New Roman" w:eastAsia="Microsoft YaHei" w:cs="Times New Roman"/>
          <w:b w:val="0"/>
          <w:i w:val="0"/>
          <w:color w:val="1F2937"/>
          <w:sz w:val="21"/>
        </w:rPr>
        <w:t>Escalate to a strategic operating or equity partner only if Store 1 proves demand but local execution capability remains the binding constraint.</w:t>
      </w:r>
    </w:p>
    <w:p>
      <w:pPr>
        <w:pStyle w:val="Heading1"/>
      </w:pPr>
      <w:r>
        <w:t>12. One-Year Action Plan</w:t>
      </w:r>
    </w:p>
    <w:p>
      <w:pPr>
        <w:pStyle w:val="Heading2"/>
      </w:pPr>
      <w:r>
        <w:t>Entry Mode Comparison</w:t>
      </w:r>
    </w:p>
    <w:tbl>
      <w:tblPr>
        <w:tblStyle w:val="TableGrid"/>
        <w:tblW w:type="dxa" w:w="9360"/>
        <w:jc w:val="center"/>
        <w:tblLayout w:type="fixed"/>
        <w:tblLook w:firstColumn="1" w:firstRow="1" w:lastColumn="0" w:lastRow="0" w:noHBand="0" w:noVBand="1" w:val="04A0"/>
        <w:tblInd w:w="120" w:type="dxa"/>
      </w:tblPr>
      <w:tblGrid>
        <w:gridCol w:w="1900"/>
        <w:gridCol w:w="1200"/>
        <w:gridCol w:w="2400"/>
        <w:gridCol w:w="2300"/>
        <w:gridCol w:w="1560"/>
      </w:tblGrid>
      <w:tr>
        <w:trPr>
          <w:tblHeader w:val="true"/>
        </w:trPr>
        <w:tc>
          <w:tcPr>
            <w:tcW w:type="dxa" w:w="19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Mode</w:t>
            </w:r>
          </w:p>
        </w:tc>
        <w:tc>
          <w:tcPr>
            <w:tcW w:type="dxa" w:w="12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Control</w:t>
            </w:r>
          </w:p>
        </w:tc>
        <w:tc>
          <w:tcPr>
            <w:tcW w:type="dxa" w:w="24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Speed / capability</w:t>
            </w:r>
          </w:p>
        </w:tc>
        <w:tc>
          <w:tcPr>
            <w:tcW w:type="dxa" w:w="230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Capital / risk</w:t>
            </w:r>
          </w:p>
        </w:tc>
        <w:tc>
          <w:tcPr>
            <w:tcW w:type="dxa" w:w="1560"/>
            <w:shd w:fill="1F4D78"/>
            <w:tcMar>
              <w:top w:w="90" w:type="dxa"/>
              <w:start w:w="110" w:type="dxa"/>
              <w:bottom w:w="90" w:type="dxa"/>
              <w:end w:w="110" w:type="dxa"/>
            </w:tcMar>
            <w:vAlign w:val="center"/>
          </w:tcPr>
          <w:p>
            <w:pPr>
              <w:spacing w:after="0"/>
            </w:pPr>
            <w:r>
              <w:rPr>
                <w:rFonts w:ascii="Times New Roman" w:hAnsi="Times New Roman" w:eastAsia="Microsoft YaHei" w:cs="Times New Roman"/>
                <w:b/>
                <w:i w:val="0"/>
                <w:color w:val="FFFFFF"/>
                <w:sz w:val="17"/>
              </w:rPr>
              <w:t>Decision</w:t>
            </w:r>
          </w:p>
        </w:tc>
      </w:tr>
      <w:tr>
        <w:tc>
          <w:tcPr>
            <w:tcW w:type="dxa" w:w="19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Wholly owned</w:t>
            </w:r>
          </w:p>
        </w:tc>
        <w:tc>
          <w:tcPr>
            <w:tcW w:type="dxa" w:w="1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Highest</w:t>
            </w:r>
          </w:p>
        </w:tc>
        <w:tc>
          <w:tcPr>
            <w:tcW w:type="dxa" w:w="2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Slower; must build local team</w:t>
            </w:r>
          </w:p>
        </w:tc>
        <w:tc>
          <w:tcPr>
            <w:tcW w:type="dxa" w:w="23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Higher setup burden; learning retained</w:t>
            </w:r>
          </w:p>
        </w:tc>
        <w:tc>
          <w:tcPr>
            <w:tcW w:type="dxa" w:w="15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Recommended for the pilot</w:t>
            </w:r>
          </w:p>
        </w:tc>
      </w:tr>
      <w:tr>
        <w:tc>
          <w:tcPr>
            <w:tcW w:type="dxa" w:w="19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Joint venture</w:t>
            </w:r>
          </w:p>
        </w:tc>
        <w:tc>
          <w:tcPr>
            <w:tcW w:type="dxa" w:w="12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Shared</w:t>
            </w:r>
          </w:p>
        </w:tc>
        <w:tc>
          <w:tcPr>
            <w:tcW w:type="dxa" w:w="24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Faster if partner is strong</w:t>
            </w:r>
          </w:p>
        </w:tc>
        <w:tc>
          <w:tcPr>
            <w:tcW w:type="dxa" w:w="230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Partner and governance risk</w:t>
            </w:r>
          </w:p>
        </w:tc>
        <w:tc>
          <w:tcPr>
            <w:tcW w:type="dxa" w:w="1560"/>
            <w:shd w:fill="F8FAFC"/>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Reserve as contingency</w:t>
            </w:r>
          </w:p>
        </w:tc>
      </w:tr>
      <w:tr>
        <w:tc>
          <w:tcPr>
            <w:tcW w:type="dxa" w:w="19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Master franchise / license</w:t>
            </w:r>
          </w:p>
        </w:tc>
        <w:tc>
          <w:tcPr>
            <w:tcW w:type="dxa" w:w="12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Lower</w:t>
            </w:r>
          </w:p>
        </w:tc>
        <w:tc>
          <w:tcPr>
            <w:tcW w:type="dxa" w:w="24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Potentially fastest</w:t>
            </w:r>
          </w:p>
        </w:tc>
        <w:tc>
          <w:tcPr>
            <w:tcW w:type="dxa" w:w="230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Lower capital; high brand-control risk</w:t>
            </w:r>
          </w:p>
        </w:tc>
        <w:tc>
          <w:tcPr>
            <w:tcW w:type="dxa" w:w="1560"/>
            <w:tcMar>
              <w:top w:w="90" w:type="dxa"/>
              <w:start w:w="110" w:type="dxa"/>
              <w:bottom w:w="90" w:type="dxa"/>
              <w:end w:w="110" w:type="dxa"/>
            </w:tcMar>
            <w:vAlign w:val="center"/>
          </w:tcPr>
          <w:p>
            <w:pPr>
              <w:spacing w:after="0" w:line="240" w:lineRule="auto"/>
            </w:pPr>
            <w:r>
              <w:rPr>
                <w:rFonts w:ascii="Times New Roman" w:hAnsi="Times New Roman" w:eastAsia="Microsoft YaHei" w:cs="Times New Roman"/>
                <w:b w:val="0"/>
                <w:i w:val="0"/>
                <w:color w:val="1F2937"/>
                <w:sz w:val="17"/>
              </w:rPr>
              <w:t>Not before PMF proof</w:t>
            </w:r>
          </w:p>
        </w:tc>
      </w:tr>
    </w:tbl>
    <w:p>
      <w:pPr>
        <w:spacing w:after="20"/>
      </w:pPr>
    </w:p>
    <w:p>
      <w:pPr>
        <w:spacing w:before="0"/>
      </w:pPr>
      <w:r>
        <w:rPr>
          <w:rFonts w:ascii="Times New Roman" w:hAnsi="Times New Roman" w:eastAsia="Microsoft YaHei" w:cs="Times New Roman"/>
          <w:b w:val="0"/>
          <w:i w:val="0"/>
          <w:color w:val="1F2937"/>
          <w:sz w:val="21"/>
        </w:rPr>
        <w:t>Recommended structure: a wholly owned Shanghai pilot entity supported by contracted local specialists. This preserves learning and brand standards while avoiding premature long-term dependence on a single operating partner.</w:t>
      </w:r>
    </w:p>
    <w:p>
      <w:pPr>
        <w:pStyle w:val="Heading2"/>
      </w:pPr>
      <w:r>
        <w:t>Months 1-2: Primary research</w:t>
      </w:r>
    </w:p>
    <w:p>
      <w:pPr>
        <w:pStyle w:val="ListBullet"/>
        <w:spacing w:before="0"/>
      </w:pPr>
      <w:r>
        <w:rPr>
          <w:rFonts w:ascii="Times New Roman" w:hAnsi="Times New Roman" w:eastAsia="Microsoft YaHei" w:cs="Times New Roman"/>
          <w:b w:val="0"/>
          <w:i w:val="0"/>
          <w:color w:val="1F2937"/>
          <w:sz w:val="21"/>
        </w:rPr>
        <w:t>Interview and survey Shanghai consumers.</w:t>
      </w:r>
    </w:p>
    <w:p>
      <w:pPr>
        <w:pStyle w:val="ListBullet"/>
        <w:spacing w:before="0"/>
      </w:pPr>
      <w:r>
        <w:rPr>
          <w:rFonts w:ascii="Times New Roman" w:hAnsi="Times New Roman" w:eastAsia="Microsoft YaHei" w:cs="Times New Roman"/>
          <w:b w:val="0"/>
          <w:i w:val="0"/>
          <w:color w:val="1F2937"/>
          <w:sz w:val="21"/>
        </w:rPr>
        <w:t>Test classic and localized flavor systems.</w:t>
      </w:r>
    </w:p>
    <w:p>
      <w:pPr>
        <w:pStyle w:val="ListBullet"/>
        <w:spacing w:before="0"/>
      </w:pPr>
      <w:r>
        <w:rPr>
          <w:rFonts w:ascii="Times New Roman" w:hAnsi="Times New Roman" w:eastAsia="Microsoft YaHei" w:cs="Times New Roman"/>
          <w:b w:val="0"/>
          <w:i w:val="0"/>
          <w:color w:val="1F2937"/>
          <w:sz w:val="21"/>
        </w:rPr>
        <w:t>Test RMB39-69 price points.</w:t>
      </w:r>
    </w:p>
    <w:p>
      <w:pPr>
        <w:pStyle w:val="ListBullet"/>
        <w:spacing w:before="0"/>
      </w:pPr>
      <w:r>
        <w:rPr>
          <w:rFonts w:ascii="Times New Roman" w:hAnsi="Times New Roman" w:eastAsia="Microsoft YaHei" w:cs="Times New Roman"/>
          <w:b w:val="0"/>
          <w:i w:val="0"/>
          <w:color w:val="1F2937"/>
          <w:sz w:val="21"/>
        </w:rPr>
        <w:t>Define trial, repeat-purchase and willingness-to-pay thresholds.</w:t>
      </w:r>
    </w:p>
    <w:p>
      <w:pPr>
        <w:pStyle w:val="Heading2"/>
      </w:pPr>
      <w:r>
        <w:t>Months 3-4: Operating model</w:t>
      </w:r>
    </w:p>
    <w:p>
      <w:pPr>
        <w:pStyle w:val="ListBullet"/>
        <w:spacing w:before="0"/>
      </w:pPr>
      <w:r>
        <w:rPr>
          <w:rFonts w:ascii="Times New Roman" w:hAnsi="Times New Roman" w:eastAsia="Microsoft YaHei" w:cs="Times New Roman"/>
          <w:b w:val="0"/>
          <w:i w:val="0"/>
          <w:color w:val="1F2937"/>
          <w:sz w:val="21"/>
        </w:rPr>
        <w:t>Confirm wholly owned pilot structure after legal and tax review; keep a JV fallback only if capability gaps remain.</w:t>
      </w:r>
    </w:p>
    <w:p>
      <w:pPr>
        <w:pStyle w:val="ListBullet"/>
        <w:spacing w:before="0"/>
      </w:pPr>
      <w:r>
        <w:rPr>
          <w:rFonts w:ascii="Times New Roman" w:hAnsi="Times New Roman" w:eastAsia="Microsoft YaHei" w:cs="Times New Roman"/>
          <w:b w:val="0"/>
          <w:i w:val="0"/>
          <w:color w:val="1F2937"/>
          <w:sz w:val="21"/>
        </w:rPr>
        <w:t>Register trademarks and complete entity/tax design.</w:t>
      </w:r>
    </w:p>
    <w:p>
      <w:pPr>
        <w:pStyle w:val="ListBullet"/>
        <w:spacing w:before="0"/>
      </w:pPr>
      <w:r>
        <w:rPr>
          <w:rFonts w:ascii="Times New Roman" w:hAnsi="Times New Roman" w:eastAsia="Microsoft YaHei" w:cs="Times New Roman"/>
          <w:b w:val="0"/>
          <w:i w:val="0"/>
          <w:color w:val="1F2937"/>
          <w:sz w:val="21"/>
        </w:rPr>
        <w:t>Select development, supply-chain, digital and research partners.</w:t>
      </w:r>
    </w:p>
    <w:p>
      <w:pPr>
        <w:pStyle w:val="ListBullet"/>
        <w:spacing w:before="0"/>
      </w:pPr>
      <w:r>
        <w:rPr>
          <w:rFonts w:ascii="Times New Roman" w:hAnsi="Times New Roman" w:eastAsia="Microsoft YaHei" w:cs="Times New Roman"/>
          <w:b w:val="0"/>
          <w:i w:val="0"/>
          <w:color w:val="1F2937"/>
          <w:sz w:val="21"/>
        </w:rPr>
        <w:t>Build unit economics for dine-in, pickup and delivery.</w:t>
      </w:r>
    </w:p>
    <w:p>
      <w:pPr>
        <w:pStyle w:val="Heading2"/>
      </w:pPr>
      <w:r>
        <w:t>Months 5-6: Prototype</w:t>
      </w:r>
    </w:p>
    <w:p>
      <w:pPr>
        <w:pStyle w:val="ListBullet"/>
        <w:spacing w:before="0"/>
      </w:pPr>
      <w:r>
        <w:rPr>
          <w:rFonts w:ascii="Times New Roman" w:hAnsi="Times New Roman" w:eastAsia="Microsoft YaHei" w:cs="Times New Roman"/>
          <w:b w:val="0"/>
          <w:i w:val="0"/>
          <w:color w:val="1F2937"/>
          <w:sz w:val="21"/>
        </w:rPr>
        <w:t>Run pop-up or delivery-kitchen tests before three leases.</w:t>
      </w:r>
    </w:p>
    <w:p>
      <w:pPr>
        <w:pStyle w:val="ListBullet"/>
        <w:spacing w:before="0"/>
      </w:pPr>
      <w:r>
        <w:rPr>
          <w:rFonts w:ascii="Times New Roman" w:hAnsi="Times New Roman" w:eastAsia="Microsoft YaHei" w:cs="Times New Roman"/>
          <w:b w:val="0"/>
          <w:i w:val="0"/>
          <w:color w:val="1F2937"/>
          <w:sz w:val="21"/>
        </w:rPr>
        <w:t>Finalize a concise menu.</w:t>
      </w:r>
    </w:p>
    <w:p>
      <w:pPr>
        <w:pStyle w:val="ListBullet"/>
        <w:spacing w:before="0"/>
      </w:pPr>
      <w:r>
        <w:rPr>
          <w:rFonts w:ascii="Times New Roman" w:hAnsi="Times New Roman" w:eastAsia="Microsoft YaHei" w:cs="Times New Roman"/>
          <w:b w:val="0"/>
          <w:i w:val="0"/>
          <w:color w:val="1F2937"/>
          <w:sz w:val="21"/>
        </w:rPr>
        <w:t>Validate preparation time, food safety, portioning and packaging.</w:t>
      </w:r>
    </w:p>
    <w:p>
      <w:pPr>
        <w:pStyle w:val="ListBullet"/>
        <w:spacing w:before="0"/>
      </w:pPr>
      <w:r>
        <w:rPr>
          <w:rFonts w:ascii="Times New Roman" w:hAnsi="Times New Roman" w:eastAsia="Microsoft YaHei" w:cs="Times New Roman"/>
          <w:b w:val="0"/>
          <w:i w:val="0"/>
          <w:color w:val="1F2937"/>
          <w:sz w:val="21"/>
        </w:rPr>
        <w:t>Select the first office-district location.</w:t>
      </w:r>
    </w:p>
    <w:p>
      <w:pPr>
        <w:pStyle w:val="Heading2"/>
      </w:pPr>
      <w:r>
        <w:t>Months 7-8: Store 1</w:t>
      </w:r>
    </w:p>
    <w:p>
      <w:pPr>
        <w:pStyle w:val="ListBullet"/>
        <w:spacing w:before="0"/>
      </w:pPr>
      <w:r>
        <w:rPr>
          <w:rFonts w:ascii="Times New Roman" w:hAnsi="Times New Roman" w:eastAsia="Microsoft YaHei" w:cs="Times New Roman"/>
          <w:b w:val="0"/>
          <w:i w:val="0"/>
          <w:color w:val="1F2937"/>
          <w:sz w:val="21"/>
        </w:rPr>
        <w:t>Open the first store.</w:t>
      </w:r>
    </w:p>
    <w:p>
      <w:pPr>
        <w:pStyle w:val="ListBullet"/>
        <w:spacing w:before="0"/>
      </w:pPr>
      <w:r>
        <w:rPr>
          <w:rFonts w:ascii="Times New Roman" w:hAnsi="Times New Roman" w:eastAsia="Microsoft YaHei" w:cs="Times New Roman"/>
          <w:b w:val="0"/>
          <w:i w:val="0"/>
          <w:color w:val="1F2937"/>
          <w:sz w:val="21"/>
        </w:rPr>
        <w:t>Concentrate on office lunch, pickup and delivery.</w:t>
      </w:r>
    </w:p>
    <w:p>
      <w:pPr>
        <w:pStyle w:val="ListBullet"/>
        <w:spacing w:before="0"/>
      </w:pPr>
      <w:r>
        <w:rPr>
          <w:rFonts w:ascii="Times New Roman" w:hAnsi="Times New Roman" w:eastAsia="Microsoft YaHei" w:cs="Times New Roman"/>
          <w:b w:val="0"/>
          <w:i w:val="0"/>
          <w:color w:val="1F2937"/>
          <w:sz w:val="21"/>
        </w:rPr>
        <w:t>Track acquisition, repeat, ticket, food cost and preparation time weekly.</w:t>
      </w:r>
    </w:p>
    <w:p>
      <w:pPr>
        <w:pStyle w:val="Heading2"/>
      </w:pPr>
      <w:r>
        <w:t>Months 9-10: Store 2 gate</w:t>
      </w:r>
    </w:p>
    <w:p>
      <w:pPr>
        <w:pStyle w:val="ListBullet"/>
        <w:spacing w:before="0"/>
      </w:pPr>
      <w:r>
        <w:rPr>
          <w:rFonts w:ascii="Times New Roman" w:hAnsi="Times New Roman" w:eastAsia="Microsoft YaHei" w:cs="Times New Roman"/>
          <w:b w:val="0"/>
          <w:i w:val="0"/>
          <w:color w:val="1F2937"/>
          <w:sz w:val="21"/>
        </w:rPr>
        <w:t>Open only if Store 1 meets predefined repeat and unit-economics thresholds.</w:t>
      </w:r>
    </w:p>
    <w:p>
      <w:pPr>
        <w:pStyle w:val="ListBullet"/>
        <w:spacing w:before="0"/>
      </w:pPr>
      <w:r>
        <w:rPr>
          <w:rFonts w:ascii="Times New Roman" w:hAnsi="Times New Roman" w:eastAsia="Microsoft YaHei" w:cs="Times New Roman"/>
          <w:b w:val="0"/>
          <w:i w:val="0"/>
          <w:color w:val="1F2937"/>
          <w:sz w:val="21"/>
        </w:rPr>
        <w:t>Use a different but comparable Shanghai business district.</w:t>
      </w:r>
    </w:p>
    <w:p>
      <w:pPr>
        <w:pStyle w:val="Heading2"/>
      </w:pPr>
      <w:r>
        <w:t>Months 11-12: Store 3 and decision</w:t>
      </w:r>
    </w:p>
    <w:p>
      <w:pPr>
        <w:pStyle w:val="ListBullet"/>
        <w:spacing w:before="0"/>
      </w:pPr>
      <w:r>
        <w:rPr>
          <w:rFonts w:ascii="Times New Roman" w:hAnsi="Times New Roman" w:eastAsia="Microsoft YaHei" w:cs="Times New Roman"/>
          <w:b w:val="0"/>
          <w:i w:val="0"/>
          <w:color w:val="1F2937"/>
          <w:sz w:val="21"/>
        </w:rPr>
        <w:t>Open only after the first two stores demonstrate repeatable demand.</w:t>
      </w:r>
    </w:p>
    <w:p>
      <w:pPr>
        <w:pStyle w:val="ListBullet"/>
        <w:spacing w:before="0"/>
      </w:pPr>
      <w:r>
        <w:rPr>
          <w:rFonts w:ascii="Times New Roman" w:hAnsi="Times New Roman" w:eastAsia="Microsoft YaHei" w:cs="Times New Roman"/>
          <w:b w:val="0"/>
          <w:i w:val="0"/>
          <w:color w:val="1F2937"/>
          <w:sz w:val="21"/>
        </w:rPr>
        <w:t>Choose among Shanghai scale-up, extended testing or stopping expansion.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90" w:type="dxa"/>
              <w:start w:w="110" w:type="dxa"/>
              <w:bottom w:w="90" w:type="dxa"/>
              <w:end w:w="110" w:type="dxa"/>
            </w:tcMar>
            <w:vAlign w:val="center"/>
          </w:tcPr>
          <w:p>
            <w:pPr>
              <w:spacing w:after="80"/>
            </w:pPr>
            <w:r/>
            <w:r>
              <w:rPr>
                <w:rFonts w:ascii="Times New Roman" w:hAnsi="Times New Roman" w:eastAsia="Microsoft YaHei" w:cs="Times New Roman"/>
                <w:b/>
                <w:i w:val="0"/>
                <w:color w:val="1F4D78"/>
                <w:sz w:val="21"/>
              </w:rPr>
              <w:t>Pilot objective</w:t>
            </w:r>
          </w:p>
          <w:p>
            <w:pPr>
              <w:spacing w:after="0"/>
            </w:pPr>
            <w:r>
              <w:rPr>
                <w:rFonts w:ascii="Times New Roman" w:hAnsi="Times New Roman" w:eastAsia="Microsoft YaHei" w:cs="Times New Roman"/>
                <w:b w:val="0"/>
                <w:i w:val="0"/>
                <w:color w:val="1F2937"/>
                <w:sz w:val="20"/>
              </w:rPr>
              <w:t>Establish whether Chipotle has a repeatable Shanghai store model without exhausting the US$10 million learning budget. Select the actual launch date only after research, licensing and supplier gates are cleared.</w:t>
            </w:r>
          </w:p>
        </w:tc>
      </w:tr>
    </w:tbl>
    <w:p>
      <w:pPr>
        <w:spacing w:after="20"/>
      </w:pPr>
    </w:p>
    <w:p>
      <w:r>
        <w:br w:type="page"/>
      </w:r>
    </w:p>
    <w:p>
      <w:pPr>
        <w:pStyle w:val="Heading1"/>
      </w:pPr>
      <w:r>
        <w:t>Sources &amp; Evidence Base</w:t>
      </w:r>
    </w:p>
    <w:p>
      <w:pPr>
        <w:pStyle w:val="Heading2"/>
      </w:pPr>
      <w:r>
        <w:t>English-language Sources</w:t>
      </w:r>
    </w:p>
    <w:p>
      <w:pPr>
        <w:pStyle w:val="ListBullet"/>
      </w:pPr>
      <w:hyperlink r:id="rId11">
        <w:r>
          <w:rPr>
            <w:rFonts w:ascii="Times New Roman" w:hAnsi="Times New Roman" w:eastAsia="Microsoft YaHei"/>
            <w:color w:val="2E74B5"/>
            <w:u w:val="single"/>
          </w:rPr>
          <w:t>Chipotle 2025 Form 10-K - menu, restaurant footprint, operating model and development cost</w:t>
        </w:r>
      </w:hyperlink>
    </w:p>
    <w:p>
      <w:pPr>
        <w:pStyle w:val="ListBullet"/>
      </w:pPr>
      <w:hyperlink r:id="rId12">
        <w:r>
          <w:rPr>
            <w:rFonts w:ascii="Times New Roman" w:hAnsi="Times New Roman" w:eastAsia="Microsoft YaHei"/>
            <w:color w:val="2E74B5"/>
            <w:u w:val="single"/>
          </w:rPr>
          <w:t>Chipotle official order page - dynamic page did not reproduce the crawler's location-specific price snapshot; current prices require a live selected-store check</w:t>
        </w:r>
      </w:hyperlink>
    </w:p>
    <w:p>
      <w:pPr>
        <w:pStyle w:val="ListBullet"/>
      </w:pPr>
      <w:hyperlink r:id="rId13">
        <w:r>
          <w:rPr>
            <w:rFonts w:ascii="Times New Roman" w:hAnsi="Times New Roman" w:eastAsia="Microsoft YaHei"/>
            <w:color w:val="2E74B5"/>
            <w:u w:val="single"/>
          </w:rPr>
          <w:t>Yum China 2025 Annual Report - Taco Bell China store count and trajectory</w:t>
        </w:r>
      </w:hyperlink>
    </w:p>
    <w:p>
      <w:pPr>
        <w:pStyle w:val="Heading2"/>
      </w:pPr>
      <w:r>
        <w:t>Chinese-language Sources</w:t>
      </w:r>
    </w:p>
    <w:p>
      <w:pPr>
        <w:pStyle w:val="ListBullet"/>
      </w:pPr>
      <w:hyperlink r:id="rId14">
        <w:r>
          <w:rPr>
            <w:rFonts w:ascii="Times New Roman" w:hAnsi="Times New Roman" w:eastAsia="Microsoft YaHei"/>
            <w:color w:val="2E74B5"/>
            <w:u w:val="single"/>
          </w:rPr>
          <w:t>Shanghai 2025 Statistical Communique</w:t>
        </w:r>
      </w:hyperlink>
    </w:p>
    <w:p>
      <w:pPr>
        <w:pStyle w:val="ListBullet"/>
      </w:pPr>
      <w:hyperlink r:id="rId15">
        <w:r>
          <w:rPr>
            <w:rFonts w:ascii="Times New Roman" w:hAnsi="Times New Roman" w:eastAsia="Microsoft YaHei"/>
            <w:color w:val="2E74B5"/>
            <w:u w:val="single"/>
          </w:rPr>
          <w:t>Shanghai 2025 income and expenditure</w:t>
        </w:r>
      </w:hyperlink>
    </w:p>
    <w:p>
      <w:pPr>
        <w:pStyle w:val="ListBullet"/>
      </w:pPr>
      <w:hyperlink r:id="rId16">
        <w:r>
          <w:rPr>
            <w:rFonts w:ascii="Times New Roman" w:hAnsi="Times New Roman" w:eastAsia="Microsoft YaHei"/>
            <w:color w:val="2E74B5"/>
            <w:u w:val="single"/>
          </w:rPr>
          <w:t>Shanghai inbound consumption update</w:t>
        </w:r>
      </w:hyperlink>
    </w:p>
    <w:p>
      <w:pPr>
        <w:pStyle w:val="ListBullet"/>
      </w:pPr>
      <w:hyperlink r:id="rId17">
        <w:r>
          <w:rPr>
            <w:rFonts w:ascii="Times New Roman" w:hAnsi="Times New Roman" w:eastAsia="Microsoft YaHei"/>
            <w:color w:val="2E74B5"/>
            <w:u w:val="single"/>
          </w:rPr>
          <w:t>Shanghai food-operation permit review rules</w:t>
        </w:r>
      </w:hyperlink>
    </w:p>
    <w:p>
      <w:pPr>
        <w:pStyle w:val="ListBullet"/>
      </w:pPr>
      <w:hyperlink r:id="rId18">
        <w:r>
          <w:rPr>
            <w:rFonts w:ascii="Times New Roman" w:hAnsi="Times New Roman" w:eastAsia="Microsoft YaHei"/>
            <w:color w:val="2E74B5"/>
            <w:u w:val="single"/>
          </w:rPr>
          <w:t>China foreign-investment negative list</w:t>
        </w:r>
      </w:hyperlink>
    </w:p>
    <w:p>
      <w:pPr>
        <w:pStyle w:val="ListBullet"/>
      </w:pPr>
      <w:hyperlink r:id="rId19">
        <w:r>
          <w:rPr>
            <w:rFonts w:ascii="Times New Roman" w:hAnsi="Times New Roman" w:eastAsia="Microsoft YaHei"/>
            <w:color w:val="2E74B5"/>
            <w:u w:val="single"/>
          </w:rPr>
          <w:t>China food-operation permit rules</w:t>
        </w:r>
      </w:hyperlink>
    </w:p>
    <w:p>
      <w:pPr>
        <w:pStyle w:val="ListBullet"/>
      </w:pPr>
      <w:hyperlink r:id="rId20">
        <w:r>
          <w:rPr>
            <w:rFonts w:ascii="Times New Roman" w:hAnsi="Times New Roman" w:eastAsia="Microsoft YaHei"/>
            <w:color w:val="2E74B5"/>
            <w:u w:val="single"/>
          </w:rPr>
          <w:t>Subway China</w:t>
        </w:r>
      </w:hyperlink>
    </w:p>
    <w:p>
      <w:pPr>
        <w:pStyle w:val="ListBullet"/>
      </w:pPr>
      <w:hyperlink r:id="rId21">
        <w:r>
          <w:rPr>
            <w:rFonts w:ascii="Times New Roman" w:hAnsi="Times New Roman" w:eastAsia="Microsoft YaHei"/>
            <w:color w:val="2E74B5"/>
            <w:u w:val="single"/>
          </w:rPr>
          <w:t>Subway China 1,000th-store announcement</w:t>
        </w:r>
      </w:hyperlink>
    </w:p>
    <w:p>
      <w:pPr>
        <w:pStyle w:val="ListBullet"/>
      </w:pPr>
      <w:hyperlink r:id="rId22">
        <w:r>
          <w:rPr>
            <w:rFonts w:ascii="Times New Roman" w:hAnsi="Times New Roman" w:eastAsia="Microsoft YaHei"/>
            <w:color w:val="2E74B5"/>
            <w:u w:val="single"/>
          </w:rPr>
          <w:t>FOODBOWL</w:t>
        </w:r>
      </w:hyperlink>
    </w:p>
    <w:p>
      <w:pPr>
        <w:pStyle w:val="ListBullet"/>
      </w:pPr>
      <w:hyperlink r:id="rId23">
        <w:r>
          <w:rPr>
            <w:rFonts w:ascii="Times New Roman" w:hAnsi="Times New Roman" w:eastAsia="Microsoft YaHei"/>
            <w:color w:val="2E74B5"/>
            <w:u w:val="single"/>
          </w:rPr>
          <w:t>Wagas China</w:t>
        </w:r>
      </w:hyperlink>
    </w:p>
    <w:p>
      <w:pPr>
        <w:pStyle w:val="Heading2"/>
      </w:pPr>
      <w:r>
        <w:t>Live-source Verification &amp; Evidence Gaps</w:t>
      </w:r>
    </w:p>
    <w:p>
      <w:pPr>
        <w:spacing w:before="0"/>
      </w:pPr>
      <w:r>
        <w:rPr>
          <w:rFonts w:ascii="Times New Roman" w:hAnsi="Times New Roman" w:eastAsia="Microsoft YaHei" w:cs="Times New Roman"/>
          <w:b w:val="0"/>
          <w:i w:val="0"/>
          <w:color w:val="1F2937"/>
          <w:sz w:val="21"/>
        </w:rPr>
        <w:t>Key regulatory, company-footprint and Shanghai macro facts were checked on currently accessible primary pages. The Chipotle order URL redirected to a generic dynamic builder and did not reproduce the crawler's selected-store prices; those figures are therefore classified Unverified and are not used to set China pricing. Competitor prices remain point-in-time observations and must be refreshed during fieldwork. No reliable public estimate isolates Shanghai Mexican fast-casual demand; the report therefore avoids presenting a fabricated TAM. FOODBOWL and Wagas operating details require field verification before lease commitment.</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Microsoft YaHei" w:cs="Times New Roman"/>
        <w:b w:val="0"/>
        <w:i w:val="0"/>
        <w:color w:val="667085"/>
        <w:sz w:val="16"/>
      </w:rPr>
      <w:t>Market Entry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Microsoft YaHei" w:cs="Times New Roman"/>
        <w:b/>
        <w:i w:val="0"/>
        <w:color w:val="667085"/>
        <w:sz w:val="16"/>
      </w:rPr>
      <w:t>CHIPOTLE | SHANGHAI MARKET ENTRY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spacing w:after="110" w:line="259" w:lineRule="auto" w:before="0"/>
    </w:pPr>
    <w:rPr>
      <w:rFonts w:ascii="Times New Roman" w:hAnsi="Times New Roman" w:eastAsia="Microsoft YaHei" w:cs="Times New Roman"/>
      <w:b w:val="0"/>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outlineLvl w:val="0"/>
    </w:pPr>
    <w:rPr>
      <w:rFonts w:asciiTheme="majorHAnsi" w:eastAsiaTheme="majorEastAsia" w:hAnsiTheme="majorHAnsi" w:cstheme="majorBidi" w:ascii="Times New Roman" w:hAnsi="Times New Roman" w:eastAsia="Microsoft YaHei" w:cs="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Times New Roman" w:hAnsi="Times New Roman" w:eastAsia="Microsoft YaHei" w:cs="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Times New Roman" w:hAnsi="Times New Roman" w:eastAsia="Microsoft YaHei" w:cs="Times New Roman"/>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pageBreakBefore w:val="0"/>
      <w:numPr>
        <w:numId w:val="1"/>
      </w:numPr>
      <w:spacing w:after="50" w:line="252" w:lineRule="auto" w:before="0"/>
      <w:ind w:left="403" w:hanging="259"/>
      <w:contextualSpacing/>
    </w:pPr>
    <w:rPr>
      <w:rFonts w:ascii="Times New Roman" w:hAnsi="Times New Roman" w:eastAsia="Microsoft YaHei" w:cs="Times New Roman"/>
      <w:b w:val="0"/>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pageBreakBefore w:val="0"/>
      <w:numPr>
        <w:numId w:val="5"/>
      </w:numPr>
      <w:spacing w:after="50" w:line="252" w:lineRule="auto" w:before="0"/>
      <w:ind w:left="403" w:hanging="259"/>
      <w:contextualSpacing/>
    </w:pPr>
    <w:rPr>
      <w:rFonts w:ascii="Times New Roman" w:hAnsi="Times New Roman" w:eastAsia="Microsoft YaHei" w:cs="Times New Roman"/>
      <w:b w:val="0"/>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rchives/edgar/data/1058090/000105809026000009/cmg-20251231.htm" TargetMode="External"/><Relationship Id="rId12" Type="http://schemas.openxmlformats.org/officeDocument/2006/relationships/hyperlink" Target="https://www.chipotle.com/order/build/burrito-bowl?restaurant=1800" TargetMode="External"/><Relationship Id="rId13" Type="http://schemas.openxmlformats.org/officeDocument/2006/relationships/hyperlink" Target="https://ir.yumchina.com/static-files/7b426179-cbc8-4ba0-995d-54b8c5b88162" TargetMode="External"/><Relationship Id="rId14" Type="http://schemas.openxmlformats.org/officeDocument/2006/relationships/hyperlink" Target="https://tjj.sh.gov.cn/tjgb/20260330/e0772941e8e041eaaad2df850b44ef98.html" TargetMode="External"/><Relationship Id="rId15" Type="http://schemas.openxmlformats.org/officeDocument/2006/relationships/hyperlink" Target="https://www.shanghai.gov.cn/nw48810/20260203/2bed33e23b324e27ae846d3a88bade53.html" TargetMode="External"/><Relationship Id="rId16" Type="http://schemas.openxmlformats.org/officeDocument/2006/relationships/hyperlink" Target="https://sww.sh.gov.cn/swdt/20260126/84b6ca7a56ee4215818ec9c5902c5bfe.html" TargetMode="External"/><Relationship Id="rId17" Type="http://schemas.openxmlformats.org/officeDocument/2006/relationships/hyperlink" Target="https://www.shanghai.gov.cn/nw12344/20260129/1288719fa5f740baa0cb1d7cf0ac82da.html" TargetMode="External"/><Relationship Id="rId18" Type="http://schemas.openxmlformats.org/officeDocument/2006/relationships/hyperlink" Target="https://www.ndrc.gov.cn/xxgk/zcfb/fzggwl/202409/t20240907_1392875.html" TargetMode="External"/><Relationship Id="rId19" Type="http://schemas.openxmlformats.org/officeDocument/2006/relationships/hyperlink" Target="https://www.samr.gov.cn/zw/zfxxgk/fdzdgknr/fgs/art/2023/art_91a91c26ae464a2f898952d5b84f62c6.html" TargetMode="External"/><Relationship Id="rId20" Type="http://schemas.openxmlformats.org/officeDocument/2006/relationships/hyperlink" Target="https://www.subway.com.cn/" TargetMode="External"/><Relationship Id="rId21" Type="http://schemas.openxmlformats.org/officeDocument/2006/relationships/hyperlink" Target="https://www.subway.com.cn/news_details_3493657.html" TargetMode="External"/><Relationship Id="rId22" Type="http://schemas.openxmlformats.org/officeDocument/2006/relationships/hyperlink" Target="https://foodbowl.com/" TargetMode="External"/><Relationship Id="rId23" Type="http://schemas.openxmlformats.org/officeDocument/2006/relationships/hyperlink" Target="https://www.wagas.com.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MarketPilot AI Report Template</dc:title>
  <dc:subject>Reusable market-entry report template</dc:subject>
  <dc:creator>MarketPilot AI</dc:creator>
  <ns0:keywords>market entry, strategy, research, template</ns0:keywords>
  <dc:description>generated by python-docx</dc:description>
  <ns0:lastModifiedBy/>
  <ns0:revision>1</ns0:revision>
  <ns2:created xsi:type="dcterms:W3CDTF">2013-12-23T23:15:00Z</ns2:created>
  <ns2:modified xsi:type="dcterms:W3CDTF">2013-12-23T23:15:00Z</ns2:modified>
  <ns0:category/>
</ns0:coreProperties>
</file>