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Highlights</w:t>
      </w:r>
    </w:p>
    <w:p>
      <w:pPr>
        <w:pStyle w:val="ListBullet"/>
      </w:pPr>
      <w:r>
        <w:t>Provenance-controlled graph context augments source text with eligible hints.</w:t>
      </w:r>
    </w:p>
    <w:p>
      <w:pPr>
        <w:pStyle w:val="ListBullet"/>
      </w:pPr>
      <w:r>
        <w:t>Evidence gates separate candidate generation from source-linked output acceptance.</w:t>
      </w:r>
    </w:p>
    <w:p>
      <w:pPr>
        <w:pStyle w:val="ListBullet"/>
      </w:pPr>
      <w:r>
        <w:t>Relation-F1 gains recur on ADE and CoNLL04 across runs and overlap exclusion.</w:t>
      </w:r>
    </w:p>
    <w:sectPr w:rsidR="00FC693F" w:rsidRPr="0006063C" w:rsidSect="00034616"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2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subject>Provenance-Controlled Graph Context Augmentation for Auditable Drug-Adverse Effect Relation Extraction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