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Highlights</w:t>
      </w:r>
    </w:p>
    <w:p>
      <w:pPr>
        <w:pStyle w:val="ListBullet"/>
      </w:pPr>
      <w:r>
        <w:t>Separates graph-informed generation from deterministic evidence acceptance.</w:t>
      </w:r>
    </w:p>
    <w:p>
      <w:pPr>
        <w:pStyle w:val="ListBullet"/>
      </w:pPr>
      <w:r>
        <w:t>Links accepted entities and relations to exact source spans and provenance.</w:t>
      </w:r>
    </w:p>
    <w:p>
      <w:pPr>
        <w:pStyle w:val="ListBullet"/>
      </w:pPr>
      <w:r>
        <w:t>Improves relation F1 over matched source-only extraction on ADE and CoNLL04.</w:t>
      </w:r>
    </w:p>
    <w:p>
      <w:pPr>
        <w:pStyle w:val="ListBullet"/>
      </w:pPr>
      <w:r>
        <w:t>Records auditable acceptance paths without asserting universal semantic truth.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