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Highlights</w:t>
      </w:r>
    </w:p>
    <w:p>
      <w:pPr>
        <w:pStyle w:val="ListBullet"/>
      </w:pPr>
      <w:r>
        <w:t>Provenance controls restrict graph hints to eligible training-derived context.</w:t>
      </w:r>
    </w:p>
    <w:p>
      <w:pPr>
        <w:pStyle w:val="ListBullet"/>
      </w:pPr>
      <w:r>
        <w:t>Evidence gates separate candidate generation from source-linked output acceptance.</w:t>
      </w:r>
    </w:p>
    <w:p>
      <w:pPr>
        <w:pStyle w:val="ListBullet"/>
      </w:pPr>
      <w:r>
        <w:t>Relation-F1 gains recur on ADE and CoNLL04 across runs and overlap exclusion.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Provenance-Controlled Graph Augmentation for Auditable Entity-Relation Extraction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