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enabling international learners to access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Hybrid Recall@5 reached 0.715 in Chinese and 0.708 in English. A bilingual-field index produced the strongest balanced field-ablation result. Qwen2.5 QLoRA raised held-out Char F1 from 0.189 to 0.398 in Chinese and from 0.437 to 0.648 in English. RAG improved all generators,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evidence-traceable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 et al., 2023; Lahnalampi, 2024; Wang and Li, 2024; Song et al., 2025; Luo et al., 2025), while broader reviews identify reliability and deployment as continuing challenges (Wandelt et al.,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 et al.,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 et al.,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 et al.,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 et al., 2024), while domain-specialised systems have been proposed for train-driver advice and emergency-response generation (Luo et al., 2025; Huang et al.,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 et al.,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 et al.,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 et al., 2023; Wang et al., 2025). Limited-resource training remains sensitive to quantisation, sequence length, optimiser state and model-specific target modules (Lv et al., 2024). Moreover, task adaptation can improve answer overlap while degrading factuality, instruction following or unrelated capabilities (Tian et al., 2024; Barnett et al.,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 et al., 2024; Vieira et al., 2024; Zheng et al.,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is conducted by experts drawn from front-line railway education and international education. Their role is to assess domain correctness, educational suitability, bilingual expression and consistency with the cited source before a record becomes eligible for approved-only retrieval. Expert names, exact panel size, experience distribution, assignment procedure and agreement statistics will be completed together after the expert-information collection is closed.</w:t>
      </w:r>
      <w:r>
        <w:t xml:space="preserve"> </w:t>
      </w:r>
      <w:r>
        <w:rPr>
          <w:b/>
          <w:bCs/>
        </w:rPr>
        <w:t xml:space="preserve">[Expert metadata to complete before submission: panel size; railway specialisms; years of teaching; international-education roles; number of reviewers per record; disagreement-resolution rule; agreement statistic where available.]</w:t>
      </w:r>
      <w:r>
        <w:t xml:space="preserve"> </w:t>
      </w:r>
      <w:r>
        <w:t xml:space="preserve">No uncollected value is inferred in the present draft. Accordingly,</w:t>
      </w:r>
      <w:r>
        <w:t xml:space="preserve"> </w:t>
      </w:r>
      <w:r>
        <w:rPr>
          <w:rStyle w:val="VerbatimChar"/>
        </w:rPr>
        <w:t xml:space="preserve">approved</w:t>
      </w:r>
      <w:r>
        <w:t xml:space="preserve"> </w:t>
      </w:r>
      <w:r>
        <w:t xml:space="preserve">is analysed as an operational governance state, not as proof of unanimous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For a candidate document</w:t>
      </w:r>
      <w:r>
        <w:t xml:space="preserve"> </w:t>
      </w:r>
      <w:r>
        <w:rPr>
          <w:i/>
          <w:iCs/>
        </w:rPr>
        <w:t xml:space="preserve">d</w:t>
      </w:r>
      <w:r>
        <w:t xml:space="preserve">, the fusion score is:</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The candidate pool is fixed at 50 per retriever and the conventional rank constant is</w:t>
      </w:r>
      <w:r>
        <w:t xml:space="preserve"> </w:t>
      </w:r>
      <w:r>
        <w:rPr>
          <w:rStyle w:val="VerbatimChar"/>
        </w:rPr>
        <w:t xml:space="preserve">k0 = 60</w:t>
      </w:r>
      <w:r>
        <w:t xml:space="preserve">; final top-</w:t>
      </w:r>
      <w:r>
        <w:rPr>
          <w:i/>
          <w:iCs/>
        </w:rPr>
        <w:t xml:space="preserve">k</w:t>
      </w:r>
      <w:r>
        <w:t xml:space="preserve"> </w:t>
      </w:r>
      <w:r>
        <w:t xml:space="preserve">is varied only after fusion.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 et al.,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pilot values are retained as a development check and are not treated as the final cross-source result.</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regulation pilot, no-retrieval F1 was 0.243 in both languages. The best RAG F1 was 0.623 for Chinese vector-RAG and 0.498 for English BM25-RAG; citation-format coverage reached 0.950-0.992 across retrieval conditions. RAG also reduced mean response time because evidence-constrained answers were shorter. Stronger hybrid evidence recall therefore did not automatically maximise answer F1, motivating the larger fixed-context generator experiment.</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gains remained significant after Holm correction (</w:t>
      </w:r>
      <w:r>
        <w:rPr>
          <w:rStyle w:val="VerbatimChar"/>
        </w:rPr>
        <w:t xml:space="preserve">p</w:t>
      </w:r>
      <w:r>
        <w:t xml:space="preserve"> </w:t>
      </w:r>
      <w:r>
        <w:t xml:space="preserve">&lt; 0.000001);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 hybrid RAG significantly improved Answer F1 over no retrieval for every generator and language after Holm correction.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Ollama and Hugging Face use different inference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 et al.,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 et al., 2024; Luo et al., 2025; Huang et al., 2026). Citation-aware targets, constrained citation insertion and human-validated entailment checking are required before operational use.</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 et al., 2024; Vieira et al.,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 et al., 2023; Lv et al.,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experiment does not establish inter-rater agreement or claim that every approved answer reaches expert consensus. Expert panel composition and review-protocol metadata are intentionally pending collection and must be completed before submission.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Hugging Face and Ollama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will be made available with the article. Full source passages from textbooks and regulations cannot be redistributed where third-party copyright or licensing restrictions apply; access to those materials is subject to the original rights holders.</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contributed to training-dataset construction, data curation, data checking, validation and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40"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w:t>
      </w:r>
    </w:p>
    <w:p>
      <w:pPr>
        <w:pStyle w:val="BodyText"/>
      </w:pPr>
      <w:r>
        <w:t xml:space="preserve">Chen, J., Xiao, S., Zhang, P., Luo, K., Lian, D. and Liu, Z. (2024), “BGE M3-Embedding: Multi-lingual, multi-functionality, multi-granularity text embeddings through self-knowledge distillation”, arXiv:2402.03216.</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 https://aaltodoc.aalto.fi/items/87b7ac34-756c-4db2-8bea-f9b9e6b453ed.</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w:t>
      </w:r>
    </w:p>
    <w:p>
      <w:pPr>
        <w:pStyle w:val="BodyText"/>
      </w:pPr>
      <w:r>
        <w:t xml:space="preserve">UNESCO (2023),</w:t>
      </w:r>
      <w:r>
        <w:t xml:space="preserve"> </w:t>
      </w:r>
      <w:r>
        <w:rPr>
          <w:i/>
          <w:iCs/>
        </w:rPr>
        <w:t xml:space="preserve">Guidance for Generative AI in Education and Research</w:t>
      </w:r>
      <w:r>
        <w:t xml:space="preserve">, UNESCO, Paris.</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2026-08-25T12:20:32Z</dcterms:created>
  <dcterms:modified xsi:type="dcterms:W3CDTF">2026-08-25T12:20:32Z</dcterms:modified>
</cp:coreProperties>
</file>

<file path=docProps/custom.xml><?xml version="1.0" encoding="utf-8"?>
<Properties xmlns="http://schemas.openxmlformats.org/officeDocument/2006/custom-properties" xmlns:vt="http://schemas.openxmlformats.org/officeDocument/2006/docPropsVTypes"/>
</file>