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figure-captions"/>
    <w:p>
      <w:pPr>
        <w:pStyle w:val="Heading1"/>
      </w:pPr>
      <w:r>
        <w:t xml:space="preserve">Figure captions</w:t>
      </w:r>
    </w:p>
    <w:p>
      <w:pPr>
        <w:pStyle w:val="FirstParagraph"/>
      </w:pPr>
      <w:r>
        <w:rPr>
          <w:b/>
          <w:bCs/>
        </w:rPr>
        <w:t xml:space="preserve">Figure 1.</w:t>
      </w:r>
      <w:r>
        <w:t xml:space="preserve"> </w:t>
      </w:r>
      <w:r>
        <w:t xml:space="preserve">Icon-enhanced role-specific Web and online bilingual RAG architecture. Solid arrows denote runtime or data flow; dashed arrows denote governance or control. Source: Authors’ own work.</w:t>
      </w:r>
    </w:p>
    <w:p>
      <w:pPr>
        <w:pStyle w:val="BodyText"/>
      </w:pPr>
      <w:r>
        <w:rPr>
          <w:b/>
          <w:bCs/>
        </w:rPr>
        <w:t xml:space="preserve">Figure 2.</w:t>
      </w:r>
      <w:r>
        <w:t xml:space="preserve"> </w:t>
      </w:r>
      <w:r>
        <w:t xml:space="preserve">Expert-governed knowledge, production-index and leakage-controlled evaluation lifecycle. Source: Authors’ own work.</w:t>
      </w:r>
    </w:p>
    <w:p>
      <w:pPr>
        <w:pStyle w:val="BodyText"/>
      </w:pPr>
      <w:r>
        <w:rPr>
          <w:b/>
          <w:bCs/>
        </w:rPr>
        <w:t xml:space="preserve">Figure 3.</w:t>
      </w:r>
      <w:r>
        <w:t xml:space="preserve"> </w:t>
      </w:r>
      <w:r>
        <w:t xml:space="preserve">Approved-hybrid retrieval quality and latency across top-k settings. Source: Authors’ own work.</w:t>
      </w:r>
    </w:p>
    <w:p>
      <w:pPr>
        <w:pStyle w:val="BodyText"/>
      </w:pPr>
      <w:r>
        <w:rPr>
          <w:b/>
          <w:bCs/>
        </w:rPr>
        <w:t xml:space="preserve">Figure 4.</w:t>
      </w:r>
      <w:r>
        <w:t xml:space="preserve"> </w:t>
      </w:r>
      <w:r>
        <w:t xml:space="preserve">Completion-only QLoRA training and validation loss. Source: Authors’ own work.</w:t>
      </w:r>
    </w:p>
    <w:p>
      <w:pPr>
        <w:pStyle w:val="BodyText"/>
      </w:pPr>
      <w:r>
        <w:rPr>
          <w:b/>
          <w:bCs/>
        </w:rPr>
        <w:t xml:space="preserve">Figure 5.</w:t>
      </w:r>
      <w:r>
        <w:t xml:space="preserve"> </w:t>
      </w:r>
      <w:r>
        <w:t xml:space="preserve">Direction- and task-separated COMET before and after QLoRA. Source: Authors’ own work.</w:t>
      </w:r>
    </w:p>
    <w:p>
      <w:pPr>
        <w:pStyle w:val="BodyText"/>
      </w:pPr>
      <w:r>
        <w:rPr>
          <w:b/>
          <w:bCs/>
        </w:rPr>
        <w:t xml:space="preserve">Figure 6.</w:t>
      </w:r>
      <w:r>
        <w:t xml:space="preserve"> </w:t>
      </w:r>
      <w:r>
        <w:t xml:space="preserve">Bilingual QA quality against generation latency and peak GPU memory. Source: Authors’ own work.</w:t>
      </w:r>
    </w:p>
    <w:p>
      <w:pPr>
        <w:pStyle w:val="BodyText"/>
      </w:pPr>
      <w:r>
        <w:rPr>
          <w:b/>
          <w:bCs/>
        </w:rPr>
        <w:t xml:space="preserve">Figure 7.</w:t>
      </w:r>
      <w:r>
        <w:t xml:space="preserve"> </w:t>
      </w:r>
      <w:r>
        <w:t xml:space="preserve">Mean prevalence of automatically flagged output errors. Source: Authors’ own work.</w:t>
      </w:r>
    </w:p>
    <w:p>
      <w:pPr>
        <w:pStyle w:val="BodyText"/>
      </w:pPr>
      <w:r>
        <w:rPr>
          <w:b/>
          <w:bCs/>
        </w:rPr>
        <w:t xml:space="preserve">Figure 8.</w:t>
      </w:r>
      <w:r>
        <w:t xml:space="preserve"> </w:t>
      </w:r>
      <w:r>
        <w:t xml:space="preserve">Bilingual index, evidence support, governance history and steady-state retrieval load validation. Source: Authors’ own work.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2026-08-25T12:20:32Z</dcterms:created>
  <dcterms:modified xsi:type="dcterms:W3CDTF">2026-08-25T12:20:32Z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