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Tables are numbered with Roman numerals and supplied separately in accordance with the IJWIS author guidelines.</w:t>
      </w:r>
    </w:p>
    <w:bookmarkStart w:id="9" w:name="table-i"/>
    <w:p>
      <w:pPr>
        <w:pStyle w:val="Heading2"/>
      </w:pPr>
      <w:r>
        <w:t xml:space="preserve">Table I</w:t>
      </w:r>
    </w:p>
    <w:p>
      <w:pPr>
        <w:pStyle w:val="FirstParagraph"/>
      </w:pPr>
      <w:r>
        <w:t xml:space="preserve">Formal implementation and experimental environment.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Formal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16.14; pgvector 0.8.4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BAAI/bge-m3; 1,024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Adapted generators</w:t>
            </w:r>
          </w:p>
        </w:tc>
        <w:tc>
          <w:tcPr/>
          <w:p>
            <w:pPr>
              <w:pStyle w:val="Compact"/>
            </w:pPr>
            <w:r>
              <w:t xml:space="preserve">Qwen2.5-7B-Instruct; GLM-4-9B-Chat-HF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generator</w:t>
            </w:r>
          </w:p>
        </w:tc>
        <w:tc>
          <w:tcPr/>
          <w:p>
            <w:pPr>
              <w:pStyle w:val="Compact"/>
            </w:pPr>
            <w:r>
              <w:t xml:space="preserve">Qwen3-14B through Ollama 0.19.0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NF4 QLoRA; rank 64; one epoch; seed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RTX 3090 24 GB; 32 GB RAM; single workstation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</w:pPr>
            <w:r>
              <w:t xml:space="preserve">2,000 bootstrap resamples; paired Wilcoxon; Holm correction</w:t>
            </w:r>
          </w:p>
        </w:tc>
      </w:tr>
    </w:tbl>
    <w:bookmarkEnd w:id="9"/>
    <w:bookmarkStart w:id="10" w:name="table-ii"/>
    <w:p>
      <w:pPr>
        <w:pStyle w:val="Heading2"/>
      </w:pPr>
      <w:r>
        <w:t xml:space="preserve">Table II</w:t>
      </w:r>
    </w:p>
    <w:p>
      <w:pPr>
        <w:pStyle w:val="FirstParagraph"/>
      </w:pPr>
      <w:r>
        <w:t xml:space="preserve">Formal cross-source retrieval on 400 knowledge pairs.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R@1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R@3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R@5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latency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approved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approved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209.2</w:t>
            </w:r>
          </w:p>
        </w:tc>
      </w:tr>
    </w:tbl>
    <w:bookmarkEnd w:id="10"/>
    <w:bookmarkStart w:id="11" w:name="table-iii"/>
    <w:p>
      <w:pPr>
        <w:pStyle w:val="Heading2"/>
      </w:pPr>
      <w:r>
        <w:t xml:space="preserve">Table III</w:t>
      </w:r>
    </w:p>
    <w:p>
      <w:pPr>
        <w:pStyle w:val="FirstParagraph"/>
      </w:pPr>
      <w:r>
        <w:t xml:space="preserve">Supplementary information-system validation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Operational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Bilingual-field hybrid index, Recall@5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</w:pPr>
            <w:r>
              <w:t xml:space="preserve">Highest balanced mean (0.696)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Qwen hybrid, supported-claim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Citation precision 0.955/0.970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QLoRA hybrid, supported-claim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</w:pPr>
            <w:r>
              <w:t xml:space="preserve">Citation recall 0.000/0.002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1,337 events; 82 edits; two recorded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retrieval, concurrency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P95 0.515 s; 21.57 requests/s; 0/12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retrieval, concurrency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P95 1.125 s; 9.51 requests/s; 0/12 failures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2026-08-25T12:20:32Z</dcterms:created>
  <dcterms:modified xsi:type="dcterms:W3CDTF">2026-08-25T12:20:32Z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