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0f78249d3efd509cde67ae96bc7c48e2cd7e118"/>
    <w:p>
      <w:pPr>
        <w:pStyle w:val="Heading1"/>
      </w:pPr>
      <w:r>
        <w:t>Knowledge-Enhanced Large Language Models for Bilingual Railway Vocational Education under Resource Constraints</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designed to support international learners’ access to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Approved-hybrid Recall@5 reached 0.715 in Chinese and 0.708 in English. A bilingual-field index produced the strongest balanced field-ablation result. Qwen2.5 QLoRA raised held-out Char F1 from 0.189 to 0.398 in Chinese and from 0.437 to 0.648 in English. Approved-hybrid RAG improved Answer F1 over no retrieval for all five generators in both languages,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evidence-labelled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w:t>
      </w:r>
      <w:r>
        <w:t xml:space="preserve"> </w:t>
      </w:r>
      <w:r>
        <w:rPr>
          <w:i/>
          <w:iCs/>
        </w:rPr>
        <w:t xml:space="preserve">et al.</w:t>
      </w:r>
      <w:r>
        <w:t xml:space="preserve">, 2023; Lahnalampi, 2024; Wang and Li, 2024; Song</w:t>
      </w:r>
      <w:r>
        <w:t xml:space="preserve"> </w:t>
      </w:r>
      <w:r>
        <w:rPr>
          <w:i/>
          <w:iCs/>
        </w:rPr>
        <w:t xml:space="preserve">et al.</w:t>
      </w:r>
      <w:r>
        <w:t xml:space="preserve">, 2025; Luo</w:t>
      </w:r>
      <w:r>
        <w:t xml:space="preserve"> </w:t>
      </w:r>
      <w:r>
        <w:rPr>
          <w:i/>
          <w:iCs/>
        </w:rPr>
        <w:t xml:space="preserve">et al.</w:t>
      </w:r>
      <w:r>
        <w:t xml:space="preserve">, 2025), while broader reviews identify reliability and deployment as continuing challenges (Wandelt</w:t>
      </w:r>
      <w:r>
        <w:t xml:space="preserve"> </w:t>
      </w:r>
      <w:r>
        <w:rPr>
          <w:i/>
          <w:iCs/>
        </w:rPr>
        <w:t xml:space="preserve">et al.</w:t>
      </w:r>
      <w:r>
        <w:t xml:space="preserve">,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w:t>
      </w:r>
      <w:r>
        <w:t xml:space="preserve"> </w:t>
      </w:r>
      <w:r>
        <w:rPr>
          <w:i/>
          <w:iCs/>
        </w:rPr>
        <w:t xml:space="preserve">et al.</w:t>
      </w:r>
      <w:r>
        <w:t xml:space="preserve">,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w:t>
      </w:r>
      <w:r>
        <w:t xml:space="preserve"> </w:t>
      </w:r>
      <w:r>
        <w:rPr>
          <w:i/>
          <w:iCs/>
        </w:rPr>
        <w:t xml:space="preserve">et al.</w:t>
      </w:r>
      <w:r>
        <w:t xml:space="preserve">,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w:t>
      </w:r>
      <w:r>
        <w:t xml:space="preserve"> </w:t>
      </w:r>
      <w:r>
        <w:rPr>
          <w:i/>
          <w:iCs/>
        </w:rPr>
        <w:t xml:space="preserve">et al.</w:t>
      </w:r>
      <w:r>
        <w:t xml:space="preserve">,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w:t>
      </w:r>
      <w:r>
        <w:t xml:space="preserve"> </w:t>
      </w:r>
      <w:r>
        <w:rPr>
          <w:i/>
          <w:iCs/>
        </w:rPr>
        <w:t xml:space="preserve">et al.</w:t>
      </w:r>
      <w:r>
        <w:t xml:space="preserve">, 2024), while domain-specialised systems have been proposed for train-driver advice and emergency-response generation (Luo</w:t>
      </w:r>
      <w:r>
        <w:t xml:space="preserve"> </w:t>
      </w:r>
      <w:r>
        <w:rPr>
          <w:i/>
          <w:iCs/>
        </w:rPr>
        <w:t xml:space="preserve">et al.</w:t>
      </w:r>
      <w:r>
        <w:t xml:space="preserve">, 2025; Huang</w:t>
      </w:r>
      <w:r>
        <w:t xml:space="preserve"> </w:t>
      </w:r>
      <w:r>
        <w:rPr>
          <w:i/>
          <w:iCs/>
        </w:rPr>
        <w:t xml:space="preserve">et al.</w:t>
      </w:r>
      <w:r>
        <w:t xml:space="preserve">,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w:t>
      </w:r>
      <w:r>
        <w:t xml:space="preserve"> </w:t>
      </w:r>
      <w:r>
        <w:rPr>
          <w:i/>
          <w:iCs/>
        </w:rPr>
        <w:t xml:space="preserve">et al.</w:t>
      </w:r>
      <w:r>
        <w:t xml:space="preserve">,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w:t>
      </w:r>
      <w:r>
        <w:t xml:space="preserve"> </w:t>
      </w:r>
      <w:r>
        <w:rPr>
          <w:i/>
          <w:iCs/>
        </w:rPr>
        <w:t xml:space="preserve">et al.</w:t>
      </w:r>
      <w:r>
        <w:t xml:space="preserve">,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w:t>
      </w:r>
      <w:r>
        <w:t xml:space="preserve"> </w:t>
      </w:r>
      <w:r>
        <w:rPr>
          <w:i/>
          <w:iCs/>
        </w:rPr>
        <w:t xml:space="preserve">et al.</w:t>
      </w:r>
      <w:r>
        <w:t xml:space="preserve">, 2023; Wang</w:t>
      </w:r>
      <w:r>
        <w:t xml:space="preserve"> </w:t>
      </w:r>
      <w:r>
        <w:rPr>
          <w:i/>
          <w:iCs/>
        </w:rPr>
        <w:t xml:space="preserve">et al.</w:t>
      </w:r>
      <w:r>
        <w:t xml:space="preserve">, 2025). Limited-resource training remains sensitive to quantisation, sequence length, optimiser state and model-specific target modules (Lv</w:t>
      </w:r>
      <w:r>
        <w:t xml:space="preserve"> </w:t>
      </w:r>
      <w:r>
        <w:rPr>
          <w:i/>
          <w:iCs/>
        </w:rPr>
        <w:t xml:space="preserve">et al.</w:t>
      </w:r>
      <w:r>
        <w:t xml:space="preserve">, 2024). Moreover, task adaptation can improve answer overlap while degrading factuality, instruction following or unrelated capabilities (Tian</w:t>
      </w:r>
      <w:r>
        <w:t xml:space="preserve"> </w:t>
      </w:r>
      <w:r>
        <w:rPr>
          <w:i/>
          <w:iCs/>
        </w:rPr>
        <w:t xml:space="preserve">et al.</w:t>
      </w:r>
      <w:r>
        <w:t xml:space="preserve">, 2024; Barnett</w:t>
      </w:r>
      <w:r>
        <w:t xml:space="preserve"> </w:t>
      </w:r>
      <w:r>
        <w:rPr>
          <w:i/>
          <w:iCs/>
        </w:rPr>
        <w:t xml:space="preserve">et al.</w:t>
      </w:r>
      <w:r>
        <w:t xml:space="preserve">,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w:t>
      </w:r>
      <w:r>
        <w:t xml:space="preserve"> </w:t>
      </w:r>
      <w:r>
        <w:rPr>
          <w:i/>
          <w:iCs/>
        </w:rPr>
        <w:t xml:space="preserve">et al.</w:t>
      </w:r>
      <w:r>
        <w:t xml:space="preserve">, 2024; Vieira</w:t>
      </w:r>
      <w:r>
        <w:t xml:space="preserve"> </w:t>
      </w:r>
      <w:r>
        <w:rPr>
          <w:i/>
          <w:iCs/>
        </w:rPr>
        <w:t xml:space="preserve">et al.</w:t>
      </w:r>
      <w:r>
        <w:t xml:space="preserve">, 2024; Zheng</w:t>
      </w:r>
      <w:r>
        <w:t xml:space="preserve"> </w:t>
      </w:r>
      <w:r>
        <w:rPr>
          <w:i/>
          <w:iCs/>
        </w:rPr>
        <w:t xml:space="preserve">et al.</w:t>
      </w:r>
      <w:r>
        <w:t xml:space="preserve">,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was conducted by the three authors, whose combined expertise covers railway vocational education, international vocational education, environmental and data analysis, and software and multimodal language-model engineering. Each author reviewed the domain correctness, educational suitability, bilingual expression and consistency with the cited source before a record became eligible for approved-only retrieval. The three authors jointly constructed, checked and quality-controlled the training and evaluation datasets. Because the review was an author-led knowledge-governance procedure rather than an independent inter-rater study, no inter-rater agreement statistic is claimed. Accordingly,</w:t>
      </w:r>
      <w:r>
        <w:t xml:space="preserve"> </w:t>
      </w:r>
      <w:r>
        <w:rPr>
          <w:rStyle w:val="VerbatimChar"/>
        </w:rPr>
        <w:t xml:space="preserve">approved</w:t>
      </w:r>
      <w:r>
        <w:t xml:space="preserve"> </w:t>
      </w:r>
      <w:r>
        <w:t xml:space="preserve">is analysed as an operational governance state, not as proof of unanimous external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Following Cormack</w:t>
      </w:r>
      <w:r>
        <w:t xml:space="preserve"> </w:t>
      </w:r>
      <w:r>
        <w:rPr>
          <w:i/>
          <w:iCs/>
        </w:rPr>
        <w:t xml:space="preserve">et al.</w:t>
      </w:r>
      <w:r>
        <w:t xml:space="preserve"> </w:t>
      </w:r>
      <w:r>
        <w:t xml:space="preserve">(2009), the reciprocal-rank-fusion score for a candidate document</w:t>
      </w:r>
      <w:r>
        <w:t xml:space="preserve"> </w:t>
      </w:r>
      <w:r>
        <w:rPr>
          <w:i/>
          <w:iCs/>
        </w:rPr>
        <w:t xml:space="preserve">d</w:t>
      </w:r>
      <w:r>
        <w:t xml:space="preserve"> </w:t>
      </w:r>
      <w:r>
        <w:t xml:space="preserve">is defined in Equation (1):</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In Equation (1), a document absent from a retriever’s candidate list contributes zero for that retriever. The candidate pool is fixed at 50 per retriever and the conventional rank constant is</w:t>
      </w:r>
      <w:r>
        <w:t xml:space="preserve"> </w:t>
      </w:r>
      <w:r>
        <w:rPr>
          <w:rStyle w:val="VerbatimChar"/>
        </w:rPr>
        <w:t xml:space="preserve">k0 = 60</w:t>
      </w:r>
      <w:r>
        <w:t xml:space="preserve">; Equation (1) is applied before final top-</w:t>
      </w:r>
      <w:r>
        <w:rPr>
          <w:i/>
          <w:iCs/>
        </w:rPr>
        <w:t xml:space="preserve">k</w:t>
      </w:r>
      <w:r>
        <w:t xml:space="preserve"> </w:t>
      </w:r>
      <w:r>
        <w:t xml:space="preserve">is varied.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their architectures and post-training lineage are documented in the corresponding official technical reports (Qwen Team, 2024; GLM Team, 2024).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 Qwen3-14B is retained only as an unadapted reference generator and is associated with the Qwen3 technical report (Qwen Team, 2025).</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w:t>
      </w:r>
      <w:r>
        <w:t xml:space="preserve"> </w:t>
      </w:r>
      <w:r>
        <w:rPr>
          <w:i/>
          <w:iCs/>
        </w:rPr>
        <w:t xml:space="preserve">et al.</w:t>
      </w:r>
      <w:r>
        <w:t xml:space="preserve">,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 Table I summarises the formal implementation and experimental environment.</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120 knowledge pairs are a subset of the formal 400-pair set, so the pilot is retained only as a development-stage sensitivity check; it is not an independent sample, added as extra observations or used as the primary cross-source estimate.</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Table II reports the formal cross-source retrieval comparison. 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120-pair regulation-only development pilot, no-retrieval F1 was 0.243 in both languages. The best pilot RAG F1 was 0.623 for Chinese vector-RAG and 0.498 for English BM25-RAG; citation-format coverage reached 0.950-0.992 across pilot retrieval conditions. RAG also reduced mean response time because evidence-constrained answers were shorter. Stronger hybrid evidence recall therefore did not automatically maximise answer F1, motivating the larger fixed-context generator experiment. Because the pilot pairs are already included in the formal 400-pair set, these values are reported as a configuration check and are not combined with or counted again in Table II or the formal generator comparisons.</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Char F1 gains remained significant after Holm correction (all adjusted p-values were below 0.01: 1.82e-40, 4.44e-48, 2.68e-44 and 3.76e-06 for Qwen Chinese, Qwen English, GLM Chinese and GLM English, respectively);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Approved-hybrid RAG significantly improved Answer F1 over no retrieval for every generator and language after Holm correction. The adjusted p-values for Chinese and English, respectively, were 1.89e-39 and 2.28e-42 for original Qwen, 1.13e-22 and 9.56e-31 for original GLM, 1.34e-06 and 1.41e-11 for Qwen QLoRA, 3.16e-09 and 9.37e-03 for GLM QLoRA, and 6.66e-32 and 7.58e-29 for Qwen3-14B.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the Transformer and Ollama inference implementations use different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Table III reports the supplementary information-system validations. 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w:t>
      </w:r>
      <w:r>
        <w:t xml:space="preserve"> </w:t>
      </w:r>
      <w:r>
        <w:rPr>
          <w:i/>
          <w:iCs/>
        </w:rPr>
        <w:t xml:space="preserve">et al.</w:t>
      </w:r>
      <w:r>
        <w:t xml:space="preserve">,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w:t>
      </w:r>
      <w:r>
        <w:t xml:space="preserve"> </w:t>
      </w:r>
      <w:r>
        <w:rPr>
          <w:i/>
          <w:iCs/>
        </w:rPr>
        <w:t xml:space="preserve">et al.</w:t>
      </w:r>
      <w:r>
        <w:t xml:space="preserve">, 2024; Luo</w:t>
      </w:r>
      <w:r>
        <w:t xml:space="preserve"> </w:t>
      </w:r>
      <w:r>
        <w:rPr>
          <w:i/>
          <w:iCs/>
        </w:rPr>
        <w:t xml:space="preserve">et al.</w:t>
      </w:r>
      <w:r>
        <w:t xml:space="preserve">, 2025; Huang</w:t>
      </w:r>
      <w:r>
        <w:t xml:space="preserve"> </w:t>
      </w:r>
      <w:r>
        <w:rPr>
          <w:i/>
          <w:iCs/>
        </w:rPr>
        <w:t xml:space="preserve">et al.</w:t>
      </w:r>
      <w:r>
        <w:t xml:space="preserve">, 2026). Citation-aware targets, constrained citation insertion and human-validated entailment checking are required before operational use.</w:t>
      </w:r>
    </w:p>
    <w:p>
      <w:pPr>
        <w:pStyle w:val="BodyText"/>
      </w:pPr>
      <w:r>
        <w:t xml:space="preserve">The formal generator matrix confirms that approved-hybrid RAG improves Answer F1 over no retrieval for every evaluated generator in both Chinese and English, while the magnitude of the gain remains model- and language-dependent.</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w:t>
      </w:r>
      <w:r>
        <w:t xml:space="preserve"> </w:t>
      </w:r>
      <w:r>
        <w:rPr>
          <w:i/>
          <w:iCs/>
        </w:rPr>
        <w:t xml:space="preserve">et al.</w:t>
      </w:r>
      <w:r>
        <w:t xml:space="preserve">, 2024; Vieira</w:t>
      </w:r>
      <w:r>
        <w:t xml:space="preserve"> </w:t>
      </w:r>
      <w:r>
        <w:rPr>
          <w:i/>
          <w:iCs/>
        </w:rPr>
        <w:t xml:space="preserve">et al.</w:t>
      </w:r>
      <w:r>
        <w:t xml:space="preserve">,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w:t>
      </w:r>
      <w:r>
        <w:t xml:space="preserve"> </w:t>
      </w:r>
      <w:r>
        <w:rPr>
          <w:i/>
          <w:iCs/>
        </w:rPr>
        <w:t xml:space="preserve">et al.</w:t>
      </w:r>
      <w:r>
        <w:t xml:space="preserve">, 2023; Lv</w:t>
      </w:r>
      <w:r>
        <w:t xml:space="preserve"> </w:t>
      </w:r>
      <w:r>
        <w:rPr>
          <w:i/>
          <w:iCs/>
        </w:rPr>
        <w:t xml:space="preserve">et al.</w:t>
      </w:r>
      <w:r>
        <w:t xml:space="preserve">,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author-led review does not establish independent inter-rater agreement or claim that every approved answer reaches external expert consensus.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independent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the Transformer and Ollama inference implementations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can be requested from the authors. Full source passages from textbooks and regulations cannot be redistributed where third-party copyright or licensing restrictions apply. Researchers seeking restricted evaluation materials or additional reproducibility information may contact the authors through the journal submission system.</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This research received no external funding.</w:t>
      </w:r>
    </w:p>
    <w:p>
      <w:pPr>
        <w:pStyle w:val="BodyText"/>
      </w:pPr>
      <w:r>
        <w:rPr>
          <w:b/>
          <w:bCs/>
        </w:rPr>
        <w:t xml:space="preserve">Author contributions:</w:t>
      </w:r>
      <w:r>
        <w:t xml:space="preserve"> </w:t>
      </w:r>
      <w:r>
        <w:t xml:space="preserve">Blinded for anonymous peer review. All authors jointly contributed to knowledge-base construction, training-dataset construction, data curation, data checking, quality control and validation. All authors contributed to review of the final manuscript.</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51"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 available at:</w:t>
      </w:r>
      <w:r>
        <w:t xml:space="preserve"> </w:t>
      </w:r>
      <w:hyperlink r:id="rId40">
        <w:r>
          <w:rPr>
            <w:rStyle w:val="Hyperlink"/>
          </w:rPr>
          <w:t xml:space="preserve">https://arxiv.org/abs/2406.11201</w:t>
        </w:r>
      </w:hyperlink>
      <w:r>
        <w:t xml:space="preserve">.</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Chen, J., Xiao, S., Zhang, P., Luo, K., Lian, D. and Liu, Z. (2024), “BGE M3-Embedding: Multi-lingual, multi-functionality, multi-granularity text embeddings through self-knowledge distillation”, arXiv:2402.03216, doi: 10.48550/arXiv.2402.03216, available at:</w:t>
      </w:r>
      <w:r>
        <w:t xml:space="preserve"> </w:t>
      </w:r>
      <w:hyperlink r:id="rId41">
        <w:r>
          <w:rPr>
            <w:rStyle w:val="Hyperlink"/>
          </w:rPr>
          <w:t xml:space="preserve">https://arxiv.org/abs/2402.03216</w:t>
        </w:r>
      </w:hyperlink>
      <w:r>
        <w:t xml:space="preserve">.</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 doi: 10.1145/1571941.1572114.</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 arXiv:2305.14314, doi: 10.48550/arXiv.2305.14314, available at:</w:t>
      </w:r>
      <w:r>
        <w:t xml:space="preserve"> </w:t>
      </w:r>
      <w:hyperlink r:id="rId42">
        <w:r>
          <w:rPr>
            <w:rStyle w:val="Hyperlink"/>
          </w:rPr>
          <w:t xml:space="preserve">https://arxiv.org/abs/2305.14314</w:t>
        </w:r>
      </w:hyperlink>
      <w:r>
        <w:t xml:space="preserve">.</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GLM Team (2024), “ChatGLM: a family of large language models from GLM-130B to GLM-4 all tools”, arXiv:2406.12793, doi: 10.48550/arXiv.2406.12793, available at:</w:t>
      </w:r>
      <w:r>
        <w:t xml:space="preserve"> </w:t>
      </w:r>
      <w:hyperlink r:id="rId43">
        <w:r>
          <w:rPr>
            <w:rStyle w:val="Hyperlink"/>
          </w:rPr>
          <w:t xml:space="preserve">https://arxiv.org/abs/2406.12793</w:t>
        </w:r>
      </w:hyperlink>
      <w:r>
        <w:t xml:space="preserve">.</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 doi: 10.1016/j.lindif.2023.102274.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w:t>
      </w:r>
      <w:r>
        <w:t xml:space="preserve"> </w:t>
      </w:r>
      <w:hyperlink r:id="rId44">
        <w:r>
          <w:rPr>
            <w:rStyle w:val="Hyperlink"/>
          </w:rPr>
          <w:t xml:space="preserve">https://aaltodoc.aalto.fi/items/87b7ac34-756c-4db2-8bea-f9b9e6b453ed</w:t>
        </w:r>
      </w:hyperlink>
      <w:r>
        <w:t xml:space="preserve">.</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 available at:</w:t>
      </w:r>
      <w:r>
        <w:t xml:space="preserve"> </w:t>
      </w:r>
      <w:hyperlink r:id="rId45">
        <w:r>
          <w:rPr>
            <w:rStyle w:val="Hyperlink"/>
          </w:rPr>
          <w:t xml:space="preserve">https://arxiv.org/abs/2005.11401</w:t>
        </w:r>
      </w:hyperlink>
      <w:r>
        <w:t xml:space="preserve">.</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Qwen Team (2024), “Qwen2.5 technical report”, arXiv:2412.15115, doi: 10.48550/arXiv.2412.15115, available at:</w:t>
      </w:r>
      <w:r>
        <w:t xml:space="preserve"> </w:t>
      </w:r>
      <w:hyperlink r:id="rId46">
        <w:r>
          <w:rPr>
            <w:rStyle w:val="Hyperlink"/>
          </w:rPr>
          <w:t xml:space="preserve">https://arxiv.org/abs/2412.15115</w:t>
        </w:r>
      </w:hyperlink>
      <w:r>
        <w:t xml:space="preserve">.</w:t>
      </w:r>
    </w:p>
    <w:p>
      <w:pPr>
        <w:pStyle w:val="BodyText"/>
      </w:pPr>
      <w:r>
        <w:t xml:space="preserve">Qwen Team (2025), “Qwen3 technical report”, arXiv:2505.09388, doi: 10.48550/arXiv.2505.09388, available at:</w:t>
      </w:r>
      <w:r>
        <w:t xml:space="preserve"> </w:t>
      </w:r>
      <w:hyperlink r:id="rId47">
        <w:r>
          <w:rPr>
            <w:rStyle w:val="Hyperlink"/>
          </w:rPr>
          <w:t xml:space="preserve">https://arxiv.org/abs/2505.09388</w:t>
        </w:r>
      </w:hyperlink>
      <w:r>
        <w:t xml:space="preserve">.</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 available at:</w:t>
      </w:r>
      <w:r>
        <w:t xml:space="preserve"> </w:t>
      </w:r>
      <w:hyperlink r:id="rId48">
        <w:r>
          <w:rPr>
            <w:rStyle w:val="Hyperlink"/>
          </w:rPr>
          <w:t xml:space="preserve">https://proceedings.iclr.cc/paper_files/paper/2024/hash/c361ae924c23cafca6033610d25dbc65-Abstract-Conference.html</w:t>
        </w:r>
      </w:hyperlink>
      <w:r>
        <w:t xml:space="preserve">.</w:t>
      </w:r>
    </w:p>
    <w:p>
      <w:pPr>
        <w:pStyle w:val="BodyText"/>
      </w:pPr>
      <w:r>
        <w:t xml:space="preserve">UNESCO (2023),</w:t>
      </w:r>
      <w:r>
        <w:t xml:space="preserve"> </w:t>
      </w:r>
      <w:r>
        <w:rPr>
          <w:i/>
          <w:iCs/>
        </w:rPr>
        <w:t xml:space="preserve">Guidance for Generative AI in Education and Research</w:t>
      </w:r>
      <w:r>
        <w:t xml:space="preserve">, UNESCO, Paris, available at:</w:t>
      </w:r>
      <w:r>
        <w:t xml:space="preserve"> </w:t>
      </w:r>
      <w:hyperlink r:id="rId49">
        <w:r>
          <w:rPr>
            <w:rStyle w:val="Hyperlink"/>
          </w:rPr>
          <w:t xml:space="preserve">https://unesdoc.unesco.org/ark:/48223/pf0000386693</w:t>
        </w:r>
      </w:hyperlink>
      <w:r>
        <w:t xml:space="preserve">.</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 available at:</w:t>
      </w:r>
      <w:r>
        <w:t xml:space="preserve"> </w:t>
      </w:r>
      <w:hyperlink r:id="rId50">
        <w:r>
          <w:rPr>
            <w:rStyle w:val="Hyperlink"/>
          </w:rPr>
          <w:t xml:space="preserve">https://aclanthology.org/2024.amta-research.20/</w:t>
        </w:r>
      </w:hyperlink>
      <w:r>
        <w:t xml:space="preserve">.</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https://aaltodoc.aalto.fi/items/87b7ac34-756c-4db2-8bea-f9b9e6b453ed" TargetMode="External"/><Relationship Id="rId50" Type="http://schemas.openxmlformats.org/officeDocument/2006/relationships/hyperlink" Target="https://aclanthology.org/2024.amta-research.20/" TargetMode="External"/><Relationship Id="rId45" Type="http://schemas.openxmlformats.org/officeDocument/2006/relationships/hyperlink" Target="https://arxiv.org/abs/2005.11401" TargetMode="External"/><Relationship Id="rId42" Type="http://schemas.openxmlformats.org/officeDocument/2006/relationships/hyperlink" Target="https://arxiv.org/abs/2305.14314" TargetMode="External"/><Relationship Id="rId41" Type="http://schemas.openxmlformats.org/officeDocument/2006/relationships/hyperlink" Target="https://arxiv.org/abs/2402.03216" TargetMode="External"/><Relationship Id="rId40" Type="http://schemas.openxmlformats.org/officeDocument/2006/relationships/hyperlink" Target="https://arxiv.org/abs/2406.11201" TargetMode="External"/><Relationship Id="rId43" Type="http://schemas.openxmlformats.org/officeDocument/2006/relationships/hyperlink" Target="https://arxiv.org/abs/2406.12793" TargetMode="External"/><Relationship Id="rId46" Type="http://schemas.openxmlformats.org/officeDocument/2006/relationships/hyperlink" Target="https://arxiv.org/abs/2412.15115" TargetMode="External"/><Relationship Id="rId47" Type="http://schemas.openxmlformats.org/officeDocument/2006/relationships/hyperlink" Target="https://arxiv.org/abs/2505.09388" TargetMode="External"/><Relationship Id="rId48" Type="http://schemas.openxmlformats.org/officeDocument/2006/relationships/hyperlink" Target="https://proceedings.iclr.cc/paper_files/paper/2024/hash/c361ae924c23cafca6033610d25dbc65-Abstract-Conference.html" TargetMode="External"/><Relationship Id="rId49" Type="http://schemas.openxmlformats.org/officeDocument/2006/relationships/hyperlink" Target="https://unesdoc.unesco.org/ark:/48223/pf0000386693"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aaltodoc.aalto.fi/items/87b7ac34-756c-4db2-8bea-f9b9e6b453ed" TargetMode="External"/><Relationship Id="rId50" Type="http://schemas.openxmlformats.org/officeDocument/2006/relationships/hyperlink" Target="https://aclanthology.org/2024.amta-research.20/" TargetMode="External"/><Relationship Id="rId45" Type="http://schemas.openxmlformats.org/officeDocument/2006/relationships/hyperlink" Target="https://arxiv.org/abs/2005.11401" TargetMode="External"/><Relationship Id="rId42" Type="http://schemas.openxmlformats.org/officeDocument/2006/relationships/hyperlink" Target="https://arxiv.org/abs/2305.14314" TargetMode="External"/><Relationship Id="rId41" Type="http://schemas.openxmlformats.org/officeDocument/2006/relationships/hyperlink" Target="https://arxiv.org/abs/2402.03216" TargetMode="External"/><Relationship Id="rId40" Type="http://schemas.openxmlformats.org/officeDocument/2006/relationships/hyperlink" Target="https://arxiv.org/abs/2406.11201" TargetMode="External"/><Relationship Id="rId43" Type="http://schemas.openxmlformats.org/officeDocument/2006/relationships/hyperlink" Target="https://arxiv.org/abs/2406.12793" TargetMode="External"/><Relationship Id="rId46" Type="http://schemas.openxmlformats.org/officeDocument/2006/relationships/hyperlink" Target="https://arxiv.org/abs/2412.15115" TargetMode="External"/><Relationship Id="rId47" Type="http://schemas.openxmlformats.org/officeDocument/2006/relationships/hyperlink" Target="https://arxiv.org/abs/2505.09388" TargetMode="External"/><Relationship Id="rId48" Type="http://schemas.openxmlformats.org/officeDocument/2006/relationships/hyperlink" Target="https://proceedings.iclr.cc/paper_files/paper/2024/hash/c361ae924c23cafca6033610d25dbc65-Abstract-Conference.html" TargetMode="External"/><Relationship Id="rId49" Type="http://schemas.openxmlformats.org/officeDocument/2006/relationships/hyperlink" Target="https://unesdoc.unesco.org/ark:/48223/pf00003866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Knowledge-Enhanced Large Language Models for Bilingual Railway Vocational Education under Resource Constraints</dc:title>
  <dc:creator/>
  <cp:keywords/>
  <dcterms:created xsi:type="dcterms:W3CDTF">2026-08-28T07:26:17Z</dcterms:created>
  <dcterms:modified xsi:type="dcterms:W3CDTF">2026-08-28T07:26:17Z</dcterms:modified>
</cp:coreProperties>
</file>

<file path=docProps/custom.xml><?xml version="1.0" encoding="utf-8"?>
<Properties xmlns="http://schemas.openxmlformats.org/officeDocument/2006/custom-properties" xmlns:vt="http://schemas.openxmlformats.org/officeDocument/2006/docPropsVTypes"/>
</file>