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ables"/>
    <w:p>
      <w:pPr>
        <w:pStyle w:val="Heading1"/>
      </w:pPr>
      <w:r>
        <w:t xml:space="preserve">Tables</w:t>
      </w:r>
    </w:p>
    <w:p>
      <w:pPr>
        <w:pStyle w:val="FirstParagraph"/>
      </w:pPr>
      <w:r>
        <w:t xml:space="preserve">Tables are numbered with Roman numerals and supplied separately in accordance with the IJWIS author guidelines.</w:t>
      </w:r>
    </w:p>
    <w:bookmarkStart w:id="9" w:name="table-i"/>
    <w:p>
      <w:pPr>
        <w:pStyle w:val="Heading2"/>
      </w:pPr>
      <w:r>
        <w:t xml:space="preserve">Table I</w:t>
      </w:r>
    </w:p>
    <w:p>
      <w:pPr>
        <w:pStyle w:val="FirstParagraph"/>
      </w:pPr>
      <w:r>
        <w:t xml:space="preserve">Formal implementation and experimental environment.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Formal 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16.14; pgvector 0.8.4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BAAI/bge-m3; 1,024 dimensions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Adapted generators</w:t>
            </w:r>
          </w:p>
        </w:tc>
        <w:tc>
          <w:tcPr/>
          <w:p>
            <w:pPr>
              <w:pStyle w:val="Compact"/>
            </w:pPr>
            <w:r>
              <w:t xml:space="preserve">Qwen2.5-7B-Instruct; GLM-4-9B-Chat-HF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generator</w:t>
            </w:r>
          </w:p>
        </w:tc>
        <w:tc>
          <w:tcPr/>
          <w:p>
            <w:pPr>
              <w:pStyle w:val="Compact"/>
            </w:pPr>
            <w:r>
              <w:t xml:space="preserve">Qwen3-14B through Ollama 0.19.0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</w:t>
            </w:r>
          </w:p>
        </w:tc>
        <w:tc>
          <w:tcPr/>
          <w:p>
            <w:pPr>
              <w:pStyle w:val="Compact"/>
            </w:pPr>
            <w:r>
              <w:t xml:space="preserve">NF4 QLoRA; rank 64; one epoch; seed 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RTX 3090 24 GB; 32 GB RAM; single workstation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Statistical analysis</w:t>
            </w:r>
          </w:p>
        </w:tc>
        <w:tc>
          <w:tcPr/>
          <w:p>
            <w:pPr>
              <w:pStyle w:val="Compact"/>
            </w:pPr>
            <w:r>
              <w:t xml:space="preserve">2,000 bootstrap resamples; paired Wilcoxon; Holm correction</w:t>
            </w:r>
          </w:p>
        </w:tc>
      </w:tr>
    </w:tbl>
    <w:bookmarkEnd w:id="9"/>
    <w:bookmarkStart w:id="10" w:name="table-ii"/>
    <w:p>
      <w:pPr>
        <w:pStyle w:val="Heading2"/>
      </w:pPr>
      <w:r>
        <w:t xml:space="preserve">Table II</w:t>
      </w:r>
    </w:p>
    <w:p>
      <w:pPr>
        <w:pStyle w:val="FirstParagraph"/>
      </w:pPr>
      <w:r>
        <w:t xml:space="preserve">Formal cross-source retrieval on 400 knowledge pairs.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Retrieval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R@1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R@3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R@5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MRR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latency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69.5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209.2</w:t>
            </w:r>
          </w:p>
        </w:tc>
      </w:tr>
    </w:tbl>
    <w:bookmarkEnd w:id="10"/>
    <w:bookmarkStart w:id="11" w:name="table-iii"/>
    <w:p>
      <w:pPr>
        <w:pStyle w:val="Heading2"/>
      </w:pPr>
      <w:r>
        <w:t xml:space="preserve">Table III</w:t>
      </w:r>
    </w:p>
    <w:p>
      <w:pPr>
        <w:pStyle w:val="FirstParagraph"/>
      </w:pPr>
      <w:r>
        <w:t xml:space="preserve">Supplementary information-system validation results.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English</w:t>
            </w:r>
          </w:p>
        </w:tc>
        <w:tc>
          <w:tcPr/>
          <w:p>
            <w:pPr>
              <w:pStyle w:val="Compact"/>
            </w:pPr>
            <w:r>
              <w:t xml:space="preserve">Operational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Bilingual-field hybrid index, Recall@5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</w:pPr>
            <w:r>
              <w:t xml:space="preserve">Highest balanced mean (0.696)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Qwen hybrid, supported-claim proxy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t xml:space="preserve">Citation precision 0.955/0.970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 QLoRA hybrid, supported-claim proxy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</w:pPr>
            <w:r>
              <w:t xml:space="preserve">Citation recall 0.000/0.002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history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1,337 events; 82 edits; two recorded reviewers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retrieval, concurrency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P95 0.515 s; 21.57 requests/s; 0/12 failures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retrieval, concurrency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P95 1.125 s; 9.51 requests/s; 0/12 failures</w:t>
            </w:r>
          </w:p>
        </w:tc>
      </w:tr>
    </w:tbl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2026-08-28T07:26:17Z</dcterms:created>
  <dcterms:modified xsi:type="dcterms:W3CDTF">2026-08-28T07:26:17Z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