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Icon-enhanced role-specific Web and online bilingual RAG architecture. Solid arrows denote runtime or data flow; dashed arrows denote governance or control. Source: Authors’ own work.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Expert-governed knowledge, production-index and leakage-controlled evaluation lifecycle. Source: Authors’ own work.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Approved-hybrid retrieval quality and latency across top-k settings. Source: Authors’ own work.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Completion-only QLoRA training and validation loss. Source: Authors’ own work.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Direction- and task-separated COMET before and after QLoRA. Source: Authors’ own work.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Bilingual QA quality against generation latency and peak GPU memory. Source: Authors’ own work.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Mean prevalence of automatically flagged output errors. Source: Authors’ own work.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Bilingual index, evidence support, governance history and steady-state retrieval load validation. Source: Authors’ own work.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2026-08-28T04:18:02Z</dcterms:created>
  <dcterms:modified xsi:type="dcterms:W3CDTF">2026-08-28T04:18:02Z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