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gure-captions"/>
    <w:p>
      <w:pPr>
        <w:pStyle w:val="Heading1"/>
      </w:pPr>
      <w:r>
        <w:t xml:space="preserve">Figure captions</w: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Hybrid retrieval and QLoRA architecture for bilingual railway question answering. Stages 1-5 connect governed inputs, frozen BGE-M3 encoding, BM25/dense rank fusion, evidence-conditioned generation and independent evaluation. The lower branch shows offline answer-only adapter training with frozen base weights; retrieval and evaluation are outside the gradient path. Trade-off annotations summarise task-dependent empirical results, not guaranteed gains. Source: Authors’ own work.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Four-stage expert-governed lifecycle covering source acquisition and bilingual editing, review-state decisions, approved production indexing, and evaluation splits with exact held-out records excluded from indexing and training. Source: Authors’ own work.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Hybrid evidence-equivalent retrieval quality and latency across top-k settings. Left: Evidence Recall@k; right: mean retrieval latency. Source: Authors’ own work.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Completion-only QLoRA optimisation for Qwen2.5-7B and GLM-4-9B. Lines show logged training loss; diamonds mark the single end-of-epoch validation measurement for each model. Source: Authors’ own work.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Direction- and task-separated COMET before and after QLoRA. Left: Qwen2.5-7B; right: GLM-4-9B. Source: Authors’ own work.</w:t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Mean bilingual standalone character-level F1 against generation latency and peak reserved GPU memory (GiB) for the four Qwen2.5/GLM original and QLoRA conditions. Left: mean generation latency; right: PyTorch reserved GPU memory. Quality and resources are measured on separate workloads. Source: Authors’ own work.</w:t>
      </w:r>
    </w:p>
    <w:p>
      <w:pPr>
        <w:pStyle w:val="BodyText"/>
      </w:pPr>
      <w:r>
        <w:rPr>
          <w:b/>
          <w:bCs/>
        </w:rPr>
        <w:t xml:space="preserve">Figure 7.</w:t>
      </w:r>
      <w:r>
        <w:t xml:space="preserve"> </w:t>
      </w:r>
      <w:r>
        <w:t xml:space="preserve">Standalone bilingual-QA and domain/translation output flags. Bars show mean condition/task-level proportions among groups in which each flag occurred, not pooled sample-level rates. Flags are non-exclusive; RAG retrieval misses and citation omissions are reported separately in the text. Source: Authors’ own work.</w:t>
      </w:r>
    </w:p>
    <w:p>
      <w:pPr>
        <w:pStyle w:val="BodyText"/>
      </w:pPr>
      <w:r>
        <w:rPr>
          <w:b/>
          <w:bCs/>
        </w:rPr>
        <w:t xml:space="preserve">Figure 8.</w:t>
      </w:r>
      <w:r>
        <w:t xml:space="preserve"> </w:t>
      </w:r>
      <w:r>
        <w:t xml:space="preserve">Bilingual index, automated evidence support and governance-history validation. Panels A-C report field ablation, evidence support and governance audit results, respectively. Source: Authors’ own work.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2026-09-07T03:39:26Z</dcterms:created>
  <dcterms:modified xsi:type="dcterms:W3CDTF">2026-09-07T03:39:26Z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