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figure-captions"/>
    <w:p>
      <w:pPr>
        <w:pStyle w:val="Heading1"/>
      </w:pPr>
      <w:r>
        <w:t xml:space="preserve">Figure captions</w:t>
      </w:r>
    </w:p>
    <w:p>
      <w:pPr>
        <w:pStyle w:val="FirstParagraph"/>
      </w:pPr>
      <w:r>
        <w:rPr>
          <w:b/>
          <w:bCs/>
        </w:rPr>
        <w:t xml:space="preserve">Figure 1.</w:t>
      </w:r>
      <w:r>
        <w:t xml:space="preserve"> </w:t>
      </w:r>
      <w:r>
        <w:t xml:space="preserve">Web-based bilingual RAG system architecture for learner, teacher and administrator workflows. Solid arrows denote runtime or data flow; dashed arrows denote governance or control. Source: Authors’ own work.</w:t>
      </w:r>
    </w:p>
    <w:p>
      <w:pPr>
        <w:pStyle w:val="BodyText"/>
      </w:pPr>
      <w:r>
        <w:rPr>
          <w:b/>
          <w:bCs/>
        </w:rPr>
        <w:t xml:space="preserve">Figure 2.</w:t>
      </w:r>
      <w:r>
        <w:t xml:space="preserve"> </w:t>
      </w:r>
      <w:r>
        <w:t xml:space="preserve">Expert-governed knowledge, production-index and leakage-controlled evaluation lifecycle. Source: Authors’ own work.</w:t>
      </w:r>
    </w:p>
    <w:p>
      <w:pPr>
        <w:pStyle w:val="BodyText"/>
      </w:pPr>
      <w:r>
        <w:rPr>
          <w:b/>
          <w:bCs/>
        </w:rPr>
        <w:t xml:space="preserve">Figure 3.</w:t>
      </w:r>
      <w:r>
        <w:t xml:space="preserve"> </w:t>
      </w:r>
      <w:r>
        <w:t xml:space="preserve">Approved-hybrid retrieval quality and latency across top-k settings. Left: Recall@k; right: mean retrieval latency. Source: Authors’ own work.</w:t>
      </w:r>
    </w:p>
    <w:p>
      <w:pPr>
        <w:pStyle w:val="BodyText"/>
      </w:pPr>
      <w:r>
        <w:rPr>
          <w:b/>
          <w:bCs/>
        </w:rPr>
        <w:t xml:space="preserve">Figure 4.</w:t>
      </w:r>
      <w:r>
        <w:t xml:space="preserve"> </w:t>
      </w:r>
      <w:r>
        <w:t xml:space="preserve">Completion-only QLoRA training and validation loss for Qwen2.5-7B and GLM-4-9B. Source: Authors’ own work.</w:t>
      </w:r>
    </w:p>
    <w:p>
      <w:pPr>
        <w:pStyle w:val="BodyText"/>
      </w:pPr>
      <w:r>
        <w:rPr>
          <w:b/>
          <w:bCs/>
        </w:rPr>
        <w:t xml:space="preserve">Figure 5.</w:t>
      </w:r>
      <w:r>
        <w:t xml:space="preserve"> </w:t>
      </w:r>
      <w:r>
        <w:t xml:space="preserve">Direction- and task-separated COMET before and after QLoRA. Left: Qwen2.5-7B; right: GLM-4-9B. Source: Authors’ own work.</w:t>
      </w:r>
    </w:p>
    <w:p>
      <w:pPr>
        <w:pStyle w:val="BodyText"/>
      </w:pPr>
      <w:r>
        <w:rPr>
          <w:b/>
          <w:bCs/>
        </w:rPr>
        <w:t xml:space="preserve">Figure 6.</w:t>
      </w:r>
      <w:r>
        <w:t xml:space="preserve"> </w:t>
      </w:r>
      <w:r>
        <w:t xml:space="preserve">Bilingual QA quality against generation latency and peak GPU memory. Left: mean generation latency; right: peak reserved GPU memory. Source: Authors’ own work.</w:t>
      </w:r>
    </w:p>
    <w:p>
      <w:pPr>
        <w:pStyle w:val="BodyText"/>
      </w:pPr>
      <w:r>
        <w:rPr>
          <w:b/>
          <w:bCs/>
        </w:rPr>
        <w:t xml:space="preserve">Figure 7.</w:t>
      </w:r>
      <w:r>
        <w:t xml:space="preserve"> </w:t>
      </w:r>
      <w:r>
        <w:t xml:space="preserve">Mean prevalence of automatically flagged output errors across the evaluated generator and retrieval conditions. Source: Authors’ own work.</w:t>
      </w:r>
    </w:p>
    <w:p>
      <w:pPr>
        <w:pStyle w:val="BodyText"/>
      </w:pPr>
      <w:r>
        <w:rPr>
          <w:b/>
          <w:bCs/>
        </w:rPr>
        <w:t xml:space="preserve">Figure 8.</w:t>
      </w:r>
      <w:r>
        <w:t xml:space="preserve"> </w:t>
      </w:r>
      <w:r>
        <w:t xml:space="preserve">Bilingual index, evidence support, governance history and steady-state retrieval load validation. Panels A-D report field ablation, evidence support, governance history and load results, respectively. Source: Authors’ own work.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2026-08-28T06:19:49Z</dcterms:created>
  <dcterms:modified xsi:type="dcterms:W3CDTF">2026-08-28T06:19:49Z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