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客户成功团队季度复盘与改进计划</w:t>
      </w:r>
    </w:p>
    <w:p>
      <w:pPr>
        <w:pStyle w:val="Heading2"/>
      </w:pPr>
      <w:r>
        <w:t>一、整体情况</w:t>
      </w:r>
    </w:p>
    <w:p>
      <w:r>
        <w:t>本季度客户成功团队重点支持了金融、零售和制造三个行业的 12 个重点客户。整体续约率保持在 91%，但高价值客户的功能培训参与度下降，导致部分客户在高级能力的使用深度上没有达到预期。</w:t>
      </w:r>
    </w:p>
    <w:p>
      <w:pPr>
        <w:pStyle w:val="Heading2"/>
      </w:pPr>
      <w:r>
        <w:t>二、主要问题</w:t>
      </w:r>
    </w:p>
    <w:p>
      <w:r>
        <w:t>问题主要集中在三个方面：第一，实施交接资料不够完整，客户成功经理接手后需要重新确认背景；第二，知识库中关于权限配置和报表异常的内容较分散，检索效率偏低；第三，跨部门升级问题的响应链条较长，影响客户满意度。</w:t>
      </w:r>
    </w:p>
    <w:p>
      <w:pPr>
        <w:pStyle w:val="Heading2"/>
      </w:pPr>
      <w:r>
        <w:t>三、改进动作</w:t>
      </w:r>
    </w:p>
    <w:p>
      <w:r>
        <w:t>计划从交接模板、知识沉淀、升级机制三条线并行推进。交接模板增加客户目标、关键联系人、已交付范围和风险项；知识沉淀统一标题规范与标签标准；升级机制要求在 30 分钟内完成责任人确认。</w:t>
      </w:r>
    </w:p>
    <w:p>
      <w:pPr>
        <w:pStyle w:val="Heading2"/>
      </w:pPr>
      <w:r>
        <w:t>四、补充说明</w:t>
      </w:r>
    </w:p>
    <w:p>
      <w:r>
        <w:t>对于处于续约前 60 天的客户，需要单独建立风险跟踪列表，并在周会上同步使用情况、待解决问题和下一步动作。若客户提出新的安全或合规要求，应在一个工作日内同步给产品与法务团队。</w:t>
      </w:r>
    </w:p>
    <w:p>
      <w:pPr>
        <w:pStyle w:val="Heading3"/>
      </w:pPr>
      <w:r>
        <w:t>三.1 重点动作拆解</w:t>
      </w:r>
    </w:p>
    <w:p>
      <w:r>
        <w:t>为了避免复盘结论停留在口头层面，本季度要求每个改进动作都映射到负责人、截止时间和复核方式。</w:t>
      </w:r>
    </w:p>
    <w:p>
      <w:pPr>
        <w:pStyle w:val="ListBullet"/>
      </w:pPr>
      <w:r>
        <w:t>统一交接模板字段，新增客户目标、已交付范围和风险项。</w:t>
      </w:r>
    </w:p>
    <w:p>
      <w:pPr>
        <w:pStyle w:val="ListBullet"/>
      </w:pPr>
      <w:r>
        <w:t>补齐知识库标签规范，明确系统名、问题类型和影响范围。</w:t>
      </w:r>
    </w:p>
    <w:p>
      <w:pPr>
        <w:pStyle w:val="ListBullet"/>
      </w:pPr>
      <w:r>
        <w:t>建立升级响应值班表，确保高优先级问题 30 分钟内有人认领。</w:t>
      </w:r>
    </w:p>
    <w:p>
      <w:pPr>
        <w:pStyle w:val="ListNumber"/>
      </w:pPr>
      <w:r>
        <w:t>每周盘点新增问题单，筛选是否需要沉淀为知识条目。</w:t>
      </w:r>
    </w:p>
    <w:p>
      <w:pPr>
        <w:pStyle w:val="ListNumber"/>
      </w:pPr>
      <w:r>
        <w:t>每月抽查 active 条目，确认是否仍适配当前系统版本。</w:t>
      </w:r>
    </w:p>
    <w:p>
      <w:pPr>
        <w:pStyle w:val="ListNumber"/>
      </w:pPr>
      <w:r>
        <w:t>季度复盘时统一回收失效条目，并输出替代知识链接。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负责人</w:t>
            </w:r>
          </w:p>
        </w:tc>
        <w:tc>
          <w:tcPr>
            <w:tcW w:type="dxa" w:w="2160"/>
          </w:tcPr>
          <w:p>
            <w:r>
              <w:t>关键输出</w:t>
            </w:r>
          </w:p>
        </w:tc>
        <w:tc>
          <w:tcPr>
            <w:tcW w:type="dxa" w:w="2160"/>
          </w:tcPr>
          <w:p>
            <w:r>
              <w:t>时限</w:t>
            </w:r>
          </w:p>
        </w:tc>
      </w:tr>
      <w:tr>
        <w:tc>
          <w:tcPr>
            <w:tcW w:type="dxa" w:w="2160"/>
          </w:tcPr>
          <w:p>
            <w:r>
              <w:t>需求提交</w:t>
            </w:r>
          </w:p>
        </w:tc>
        <w:tc>
          <w:tcPr>
            <w:tcW w:type="dxa" w:w="2160"/>
          </w:tcPr>
          <w:p>
            <w:r>
              <w:t>业务部门</w:t>
            </w:r>
          </w:p>
        </w:tc>
        <w:tc>
          <w:tcPr>
            <w:tcW w:type="dxa" w:w="2160"/>
          </w:tcPr>
          <w:p>
            <w:r>
              <w:t>采购申请单、预算说明</w:t>
            </w:r>
          </w:p>
        </w:tc>
        <w:tc>
          <w:tcPr>
            <w:tcW w:type="dxa" w:w="2160"/>
          </w:tcPr>
          <w:p>
            <w:r>
              <w:t>T+0</w:t>
            </w:r>
          </w:p>
        </w:tc>
      </w:tr>
      <w:tr>
        <w:tc>
          <w:tcPr>
            <w:tcW w:type="dxa" w:w="2160"/>
          </w:tcPr>
          <w:p>
            <w:r>
              <w:t>供应商初筛</w:t>
            </w:r>
          </w:p>
        </w:tc>
        <w:tc>
          <w:tcPr>
            <w:tcW w:type="dxa" w:w="2160"/>
          </w:tcPr>
          <w:p>
            <w:r>
              <w:t>采购专员</w:t>
            </w:r>
          </w:p>
        </w:tc>
        <w:tc>
          <w:tcPr>
            <w:tcW w:type="dxa" w:w="2160"/>
          </w:tcPr>
          <w:p>
            <w:r>
              <w:t>候选名单、基础比价</w:t>
            </w:r>
          </w:p>
        </w:tc>
        <w:tc>
          <w:tcPr>
            <w:tcW w:type="dxa" w:w="2160"/>
          </w:tcPr>
          <w:p>
            <w:r>
              <w:t>T+2</w:t>
            </w:r>
          </w:p>
        </w:tc>
      </w:tr>
      <w:tr>
        <w:tc>
          <w:tcPr>
            <w:tcW w:type="dxa" w:w="2160"/>
          </w:tcPr>
          <w:p>
            <w:r>
              <w:t>风险评估</w:t>
            </w:r>
          </w:p>
        </w:tc>
        <w:tc>
          <w:tcPr>
            <w:tcW w:type="dxa" w:w="2160"/>
          </w:tcPr>
          <w:p>
            <w:r>
              <w:t>信息安全/法务</w:t>
            </w:r>
          </w:p>
        </w:tc>
        <w:tc>
          <w:tcPr>
            <w:tcW w:type="dxa" w:w="2160"/>
          </w:tcPr>
          <w:p>
            <w:r>
              <w:t>安全问卷、合同审阅意见</w:t>
            </w:r>
          </w:p>
        </w:tc>
        <w:tc>
          <w:tcPr>
            <w:tcW w:type="dxa" w:w="2160"/>
          </w:tcPr>
          <w:p>
            <w:r>
              <w:t>T+5</w:t>
            </w:r>
          </w:p>
        </w:tc>
      </w:tr>
      <w:tr>
        <w:tc>
          <w:tcPr>
            <w:tcW w:type="dxa" w:w="2160"/>
          </w:tcPr>
          <w:p>
            <w:r>
              <w:t>审批与下单</w:t>
            </w:r>
          </w:p>
        </w:tc>
        <w:tc>
          <w:tcPr>
            <w:tcW w:type="dxa" w:w="2160"/>
          </w:tcPr>
          <w:p>
            <w:r>
              <w:t>采购经理</w:t>
            </w:r>
          </w:p>
        </w:tc>
        <w:tc>
          <w:tcPr>
            <w:tcW w:type="dxa" w:w="2160"/>
          </w:tcPr>
          <w:p>
            <w:r>
              <w:t>审批记录、订单信息</w:t>
            </w:r>
          </w:p>
        </w:tc>
        <w:tc>
          <w:tcPr>
            <w:tcW w:type="dxa" w:w="2160"/>
          </w:tcPr>
          <w:p>
            <w:r>
              <w:t>T+7</w:t>
            </w:r>
          </w:p>
        </w:tc>
      </w:tr>
    </w:tbl>
    <w:p>
      <w:r>
        <w:t>以下风险对照表用于测试 Word 表格和标题间混排场景。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问题类型</w:t>
            </w:r>
          </w:p>
        </w:tc>
        <w:tc>
          <w:tcPr>
            <w:tcW w:type="dxa" w:w="2880"/>
          </w:tcPr>
          <w:p>
            <w:r>
              <w:t>触发信号</w:t>
            </w:r>
          </w:p>
        </w:tc>
        <w:tc>
          <w:tcPr>
            <w:tcW w:type="dxa" w:w="2880"/>
          </w:tcPr>
          <w:p>
            <w:r>
              <w:t>建议动作</w:t>
            </w:r>
          </w:p>
        </w:tc>
      </w:tr>
      <w:tr>
        <w:tc>
          <w:tcPr>
            <w:tcW w:type="dxa" w:w="2880"/>
          </w:tcPr>
          <w:p>
            <w:r>
              <w:t>交接缺失</w:t>
            </w:r>
          </w:p>
        </w:tc>
        <w:tc>
          <w:tcPr>
            <w:tcW w:type="dxa" w:w="2880"/>
          </w:tcPr>
          <w:p>
            <w:r>
              <w:t>客户目标、关键联系人未补齐</w:t>
            </w:r>
          </w:p>
        </w:tc>
        <w:tc>
          <w:tcPr>
            <w:tcW w:type="dxa" w:w="2880"/>
          </w:tcPr>
          <w:p>
            <w:r>
              <w:t>退回交接单并补充模板字段</w:t>
            </w:r>
          </w:p>
        </w:tc>
      </w:tr>
      <w:tr>
        <w:tc>
          <w:tcPr>
            <w:tcW w:type="dxa" w:w="2880"/>
          </w:tcPr>
          <w:p>
            <w:r>
              <w:t>知识分散</w:t>
            </w:r>
          </w:p>
        </w:tc>
        <w:tc>
          <w:tcPr>
            <w:tcW w:type="dxa" w:w="2880"/>
          </w:tcPr>
          <w:p>
            <w:r>
              <w:t>同一主题出现多个命名不一致条目</w:t>
            </w:r>
          </w:p>
        </w:tc>
        <w:tc>
          <w:tcPr>
            <w:tcW w:type="dxa" w:w="2880"/>
          </w:tcPr>
          <w:p>
            <w:r>
              <w:t>统一标题规范并合并别名</w:t>
            </w:r>
          </w:p>
        </w:tc>
      </w:tr>
      <w:tr>
        <w:tc>
          <w:tcPr>
            <w:tcW w:type="dxa" w:w="2880"/>
          </w:tcPr>
          <w:p>
            <w:r>
              <w:t>升级缓慢</w:t>
            </w:r>
          </w:p>
        </w:tc>
        <w:tc>
          <w:tcPr>
            <w:tcW w:type="dxa" w:w="2880"/>
          </w:tcPr>
          <w:p>
            <w:r>
              <w:t>跨部门问题 30 分钟内无人认领</w:t>
            </w:r>
          </w:p>
        </w:tc>
        <w:tc>
          <w:tcPr>
            <w:tcW w:type="dxa" w:w="2880"/>
          </w:tcPr>
          <w:p>
            <w:r>
              <w:t>建立升级群和责任人轮值</w:t>
            </w:r>
          </w:p>
        </w:tc>
      </w:tr>
    </w:tbl>
    <w:p>
      <w:r>
        <w:t>结论：后续知识库建设应重点覆盖权限配置、客户升级流程、报表异常排查和续约风险判断这四类高频主题。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