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员工手册与日常协作规范</w:t>
      </w:r>
    </w:p>
    <w:p>
      <w:r>
        <w:t>本手册用于帮助员工理解考勤、请假、远程办公、信息安全和离职交接要求。制度由人力资源部维护，涉及数据和系统访问的条款由信息安全部共同审核。</w:t>
      </w:r>
    </w:p>
    <w:p>
      <w:pPr>
        <w:pStyle w:val="Heading2"/>
      </w:pPr>
      <w:r>
        <w:t>适用原则</w:t>
      </w:r>
    </w:p>
    <w:p>
      <w:pPr>
        <w:pStyle w:val="ListBullet"/>
      </w:pPr>
      <w:r>
        <w:t>制度公开透明并保留变更记录</w:t>
      </w:r>
    </w:p>
    <w:p>
      <w:pPr>
        <w:pStyle w:val="ListBullet"/>
      </w:pPr>
      <w:r>
        <w:t>权限按最小必要原则申请</w:t>
      </w:r>
    </w:p>
    <w:p>
      <w:pPr>
        <w:pStyle w:val="ListBullet"/>
      </w:pPr>
      <w:r>
        <w:t>例外必须有审批人与失效时间</w:t>
      </w:r>
    </w:p>
    <w:p>
      <w:pPr>
        <w:pStyle w:val="Heading2"/>
      </w:pPr>
      <w:r>
        <w:t>员工确认步骤</w:t>
      </w:r>
    </w:p>
    <w:p>
      <w:pPr>
        <w:pStyle w:val="ListNumber"/>
      </w:pPr>
      <w:r>
        <w:t>阅读制度并确认适用范围</w:t>
      </w:r>
    </w:p>
    <w:p>
      <w:pPr>
        <w:pStyle w:val="ListNumber"/>
      </w:pPr>
      <w:r>
        <w:t>向直属负责人提出疑问</w:t>
      </w:r>
    </w:p>
    <w:p>
      <w:pPr>
        <w:pStyle w:val="ListNumber"/>
      </w:pPr>
      <w:r>
        <w:t>在入职系统完成签收</w:t>
      </w:r>
    </w:p>
    <w:p>
      <w:r>
        <w:br w:type="page"/>
      </w:r>
    </w:p>
    <w:p>
      <w:pPr>
        <w:pStyle w:val="Heading1"/>
      </w:pPr>
      <w:r>
        <w:t>第一章 考勤与工作安排</w:t>
      </w:r>
    </w:p>
    <w:p>
      <w:r>
        <w:t>标准工作日为周一至周五。员工应在团队约定的协作时段保持可联系状态；客户现场、夜间发布和跨时区会议可以调整工作时间，但需要由直属负责人确认。</w:t>
      </w:r>
    </w:p>
    <w:p>
      <w:pPr>
        <w:pStyle w:val="Heading2"/>
      </w:pPr>
      <w:r>
        <w:t>考勤异常处理</w:t>
      </w:r>
    </w:p>
    <w:p>
      <w:r>
        <w:t>忘记打卡、客户现场签到失败或系统不可用时，应在两个工作日内提交异常说明。直属负责人核实后由人力资源部修正记录。</w:t>
      </w:r>
    </w:p>
    <w:p>
      <w:pPr>
        <w:pStyle w:val="Heading3"/>
      </w:pPr>
      <w:r>
        <w:t>协作时段</w:t>
      </w:r>
    </w:p>
    <w:p>
      <w:pPr>
        <w:pStyle w:val="ListBullet"/>
      </w:pPr>
      <w:r>
        <w:t>核心协作时段为 10:00-17:00</w:t>
      </w:r>
    </w:p>
    <w:p>
      <w:pPr>
        <w:pStyle w:val="ListBullet"/>
      </w:pPr>
      <w:r>
        <w:t>跨时区会议应提前一天确认</w:t>
      </w:r>
    </w:p>
    <w:p>
      <w:pPr>
        <w:pStyle w:val="ListBullet"/>
      </w:pPr>
      <w:r>
        <w:t>夜间发布后次日可调整到岗时间</w:t>
      </w:r>
    </w:p>
    <w:p>
      <w:r>
        <w:br w:type="page"/>
      </w:r>
    </w:p>
    <w:p>
      <w:pPr>
        <w:pStyle w:val="Heading1"/>
      </w:pPr>
      <w:r>
        <w:t>第二章 请假与远程办公</w:t>
      </w:r>
    </w:p>
    <w:p>
      <w:r>
        <w:t>年假应提前两个工作日提交，病假应在当天开始工作前通知直属负责人。连续三天及以上病假需要补充医疗证明。远程办公申请应写明工作地点、计划产出和紧急联系方式。</w:t>
      </w:r>
    </w:p>
    <w:p>
      <w:pPr>
        <w:pStyle w:val="Heading2"/>
      </w:pPr>
      <w:r>
        <w:t>请假材料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268"/>
          </w:tcPr>
          <w:p>
            <w:r>
              <w:t>类型</w:t>
            </w:r>
          </w:p>
        </w:tc>
        <w:tc>
          <w:tcPr>
            <w:tcW w:type="dxa" w:w="2268"/>
          </w:tcPr>
          <w:p>
            <w:r>
              <w:t>提前时间</w:t>
            </w:r>
          </w:p>
        </w:tc>
        <w:tc>
          <w:tcPr>
            <w:tcW w:type="dxa" w:w="2268"/>
          </w:tcPr>
          <w:p>
            <w:r>
              <w:t>证明材料</w:t>
            </w:r>
          </w:p>
        </w:tc>
        <w:tc>
          <w:tcPr>
            <w:tcW w:type="dxa" w:w="2268"/>
          </w:tcPr>
          <w:p>
            <w:r>
              <w:t>审批人</w:t>
            </w:r>
          </w:p>
        </w:tc>
      </w:tr>
      <w:tr>
        <w:tc>
          <w:tcPr>
            <w:tcW w:type="dxa" w:w="2268"/>
            <w:vAlign w:val="center"/>
          </w:tcPr>
          <w:p>
            <w:r>
              <w:t>年假</w:t>
            </w:r>
          </w:p>
        </w:tc>
        <w:tc>
          <w:tcPr>
            <w:tcW w:type="dxa" w:w="2268"/>
            <w:vAlign w:val="center"/>
          </w:tcPr>
          <w:p>
            <w:r>
              <w:t>2 个工作日</w:t>
            </w:r>
          </w:p>
        </w:tc>
        <w:tc>
          <w:tcPr>
            <w:tcW w:type="dxa" w:w="2268"/>
            <w:vAlign w:val="center"/>
          </w:tcPr>
          <w:p>
            <w:r>
              <w:t>无需</w:t>
            </w:r>
          </w:p>
        </w:tc>
        <w:tc>
          <w:tcPr>
            <w:tcW w:type="dxa" w:w="2268"/>
            <w:vAlign w:val="center"/>
          </w:tcPr>
          <w:p>
            <w:r>
              <w:t>直属负责人</w:t>
            </w:r>
          </w:p>
        </w:tc>
      </w:tr>
      <w:tr>
        <w:tc>
          <w:tcPr>
            <w:tcW w:type="dxa" w:w="2268"/>
            <w:vAlign w:val="center"/>
          </w:tcPr>
          <w:p>
            <w:r>
              <w:t>病假</w:t>
            </w:r>
          </w:p>
        </w:tc>
        <w:tc>
          <w:tcPr>
            <w:tcW w:type="dxa" w:w="2268"/>
            <w:vAlign w:val="center"/>
          </w:tcPr>
          <w:p>
            <w:r>
              <w:t>当天通知</w:t>
            </w:r>
          </w:p>
        </w:tc>
        <w:tc>
          <w:tcPr>
            <w:tcW w:type="dxa" w:w="2268"/>
            <w:vAlign w:val="center"/>
          </w:tcPr>
          <w:p>
            <w:r>
              <w:t>连续 3 天需医疗证明</w:t>
            </w:r>
          </w:p>
        </w:tc>
        <w:tc>
          <w:tcPr>
            <w:tcW w:type="dxa" w:w="2268"/>
            <w:vAlign w:val="center"/>
          </w:tcPr>
          <w:p>
            <w:r>
              <w:t>直属负责人</w:t>
            </w:r>
          </w:p>
        </w:tc>
      </w:tr>
      <w:tr>
        <w:tc>
          <w:tcPr>
            <w:tcW w:type="dxa" w:w="2268"/>
            <w:vAlign w:val="center"/>
          </w:tcPr>
          <w:p>
            <w:r>
              <w:t>远程办公</w:t>
            </w:r>
          </w:p>
        </w:tc>
        <w:tc>
          <w:tcPr>
            <w:tcW w:type="dxa" w:w="2268"/>
            <w:vAlign w:val="center"/>
          </w:tcPr>
          <w:p>
            <w:r>
              <w:t>1 个工作日</w:t>
            </w:r>
          </w:p>
        </w:tc>
        <w:tc>
          <w:tcPr>
            <w:tcW w:type="dxa" w:w="2268"/>
            <w:vAlign w:val="center"/>
          </w:tcPr>
          <w:p>
            <w:r>
              <w:t>计划产出与地点</w:t>
            </w:r>
          </w:p>
        </w:tc>
        <w:tc>
          <w:tcPr>
            <w:tcW w:type="dxa" w:w="2268"/>
            <w:vAlign w:val="center"/>
          </w:tcPr>
          <w:p>
            <w:r>
              <w:t>直属负责人</w:t>
            </w:r>
          </w:p>
        </w:tc>
      </w:tr>
    </w:tbl>
    <w:p>
      <w:pPr>
        <w:pStyle w:val="Heading2"/>
      </w:pPr>
      <w:r>
        <w:t>远程办公检查项</w:t>
      </w:r>
    </w:p>
    <w:p>
      <w:pPr>
        <w:pStyle w:val="ListNumber"/>
      </w:pPr>
      <w:r>
        <w:t>使用公司批准设备</w:t>
      </w:r>
    </w:p>
    <w:p>
      <w:pPr>
        <w:pStyle w:val="ListNumber"/>
      </w:pPr>
      <w:r>
        <w:t>确保网络与屏幕隐私</w:t>
      </w:r>
    </w:p>
    <w:p>
      <w:pPr>
        <w:pStyle w:val="ListNumber"/>
      </w:pPr>
      <w:r>
        <w:t>工作结束后更新任务进度</w:t>
      </w:r>
    </w:p>
    <w:p>
      <w:r>
        <w:br w:type="page"/>
      </w:r>
    </w:p>
    <w:p>
      <w:pPr>
        <w:pStyle w:val="Heading1"/>
      </w:pPr>
      <w:r>
        <w:t>第三章 信息安全</w:t>
      </w:r>
    </w:p>
    <w:p>
      <w:r>
        <w:t>员工只能使用公司批准的账号和设备访问受限资料，不得把客户数据复制到个人网盘。发现账号异常、设备遗失或错误授权时，应立即联系信息安全值班人员并保留相关证据。</w:t>
      </w:r>
    </w:p>
    <w:p>
      <w:pPr>
        <w:pStyle w:val="Heading2"/>
      </w:pPr>
      <w:r>
        <w:t>账号与数据保护</w:t>
      </w:r>
    </w:p>
    <w:p>
      <w:r>
        <w:t>客户资料只能存放在公司批准的系统中。外发前应确认接收人、文件范围和有效期；包含敏感数据时应使用受控分享链接并记录审批。</w:t>
      </w:r>
    </w:p>
    <w:p>
      <w:pPr>
        <w:pStyle w:val="Heading2"/>
      </w:pPr>
      <w:r>
        <w:t>安全事件报告</w:t>
      </w:r>
    </w:p>
    <w:p>
      <w:pPr>
        <w:pStyle w:val="ListNumber"/>
      </w:pPr>
      <w:r>
        <w:t>立即停止可疑操作</w:t>
      </w:r>
    </w:p>
    <w:p>
      <w:pPr>
        <w:pStyle w:val="ListNumber"/>
      </w:pPr>
      <w:r>
        <w:t>保留告警、截图和时间信息</w:t>
      </w:r>
    </w:p>
    <w:p>
      <w:pPr>
        <w:pStyle w:val="ListNumber"/>
      </w:pPr>
      <w:r>
        <w:t>联系信息安全值班人员</w:t>
      </w:r>
    </w:p>
    <w:p>
      <w:pPr>
        <w:pStyle w:val="ListNumber"/>
      </w:pPr>
      <w:r>
        <w:t>未经确认不要对外发布结论</w:t>
      </w:r>
    </w:p>
    <w:p>
      <w:pPr>
        <w:sectPr>
          <w:headerReference w:type="default" r:id="rId9"/>
          <w:footerReference w:type="default" r:id="rId10"/>
          <w:pgSz w:w="12240" w:h="15840"/>
          <w:pgMar w:top="1020" w:right="1247" w:bottom="1020" w:left="1247" w:header="720" w:footer="720" w:gutter="0"/>
          <w:cols w:space="720"/>
          <w:docGrid w:linePitch="360"/>
        </w:sectPr>
      </w:pPr>
    </w:p>
    <w:p>
      <w:pPr>
        <w:pStyle w:val="Heading1"/>
      </w:pPr>
      <w:r>
        <w:t>第四章 入职、转岗与离职</w:t>
      </w:r>
    </w:p>
    <w:p>
      <w:r>
        <w:t>入职时由直属负责人申请最小必要权限。转岗时应复核原岗位权限，离职流程必须完成资料交接、账号停用、设备归还和保密提醒。人力资源部负责确认清单闭环。</w:t>
      </w:r>
    </w:p>
    <w:p>
      <w:pPr>
        <w:pStyle w:val="Heading2"/>
      </w:pPr>
      <w:r>
        <w:t>离职交接清单</w:t>
      </w:r>
    </w:p>
    <w:p>
      <w:pPr>
        <w:pStyle w:val="ListBullet"/>
      </w:pPr>
      <w:r>
        <w:t>完成项目资料和客户事项交接</w:t>
      </w:r>
    </w:p>
    <w:p>
      <w:pPr>
        <w:pStyle w:val="ListBullet"/>
      </w:pPr>
      <w:r>
        <w:t>归还电脑、门禁卡和其他资产</w:t>
      </w:r>
    </w:p>
    <w:p>
      <w:pPr>
        <w:pStyle w:val="ListBullet"/>
      </w:pPr>
      <w:r>
        <w:t>确认账号、令牌和共享权限已回收</w:t>
      </w:r>
    </w:p>
    <w:p>
      <w:pPr>
        <w:pStyle w:val="ListBullet"/>
      </w:pPr>
      <w:r>
        <w:t>签署离职与保密确认</w:t>
      </w:r>
    </w:p>
    <w:p>
      <w:pPr>
        <w:pStyle w:val="Heading2"/>
      </w:pPr>
      <w:r>
        <w:t>责任矩阵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268"/>
          </w:tcPr>
          <w:p>
            <w:r>
              <w:t>事项</w:t>
            </w:r>
          </w:p>
        </w:tc>
        <w:tc>
          <w:tcPr>
            <w:tcW w:type="dxa" w:w="2268"/>
          </w:tcPr>
          <w:p>
            <w:r>
              <w:t>责任人</w:t>
            </w:r>
          </w:p>
        </w:tc>
        <w:tc>
          <w:tcPr>
            <w:tcW w:type="dxa" w:w="2268"/>
          </w:tcPr>
          <w:p>
            <w:r>
              <w:t>完成证据</w:t>
            </w:r>
          </w:p>
        </w:tc>
      </w:tr>
      <w:tr>
        <w:tc>
          <w:tcPr>
            <w:tcW w:type="dxa" w:w="2268"/>
          </w:tcPr>
          <w:p>
            <w:r>
              <w:t>业务交接</w:t>
            </w:r>
          </w:p>
        </w:tc>
        <w:tc>
          <w:tcPr>
            <w:tcW w:type="dxa" w:w="2268"/>
          </w:tcPr>
          <w:p>
            <w:r>
              <w:t>直属负责人</w:t>
            </w:r>
          </w:p>
        </w:tc>
        <w:tc>
          <w:tcPr>
            <w:tcW w:type="dxa" w:w="2268"/>
          </w:tcPr>
          <w:p>
            <w:r>
              <w:t>交接清单</w:t>
            </w:r>
          </w:p>
        </w:tc>
      </w:tr>
      <w:tr>
        <w:tc>
          <w:tcPr>
            <w:tcW w:type="dxa" w:w="2268"/>
          </w:tcPr>
          <w:p>
            <w:r>
              <w:t>账号停用</w:t>
            </w:r>
          </w:p>
        </w:tc>
        <w:tc>
          <w:tcPr>
            <w:tcW w:type="dxa" w:w="2268"/>
          </w:tcPr>
          <w:p>
            <w:r>
              <w:t>IT 服务台</w:t>
            </w:r>
          </w:p>
        </w:tc>
        <w:tc>
          <w:tcPr>
            <w:tcW w:type="dxa" w:w="2268"/>
          </w:tcPr>
          <w:p>
            <w:r>
              <w:t>停用工单</w:t>
            </w:r>
          </w:p>
        </w:tc>
      </w:tr>
      <w:tr>
        <w:tc>
          <w:tcPr>
            <w:tcW w:type="dxa" w:w="2268"/>
          </w:tcPr>
          <w:p>
            <w:r>
              <w:t>资料归档</w:t>
            </w:r>
          </w:p>
        </w:tc>
        <w:tc>
          <w:tcPr>
            <w:tcW w:type="dxa" w:w="2268"/>
          </w:tcPr>
          <w:p>
            <w:r>
              <w:t>员工与项目负责人</w:t>
            </w:r>
          </w:p>
        </w:tc>
        <w:tc>
          <w:tcPr>
            <w:tcW w:type="dxa" w:w="2268"/>
          </w:tcPr>
          <w:p>
            <w:r>
              <w:t>归档链接</w:t>
            </w:r>
          </w:p>
        </w:tc>
      </w:tr>
      <w:tr>
        <w:tc>
          <w:tcPr>
            <w:tcW w:type="dxa" w:w="2268"/>
          </w:tcPr>
          <w:p>
            <w:r>
              <w:t>流程关闭</w:t>
            </w:r>
          </w:p>
        </w:tc>
        <w:tc>
          <w:tcPr>
            <w:tcW w:type="dxa" w:w="2268"/>
          </w:tcPr>
          <w:p>
            <w:r>
              <w:t>人力资源部</w:t>
            </w:r>
          </w:p>
        </w:tc>
        <w:tc>
          <w:tcPr>
            <w:tcW w:type="dxa" w:w="2268"/>
          </w:tcPr>
          <w:p>
            <w:r>
              <w:t>离职确认记录</w:t>
            </w:r>
          </w:p>
        </w:tc>
      </w:tr>
    </w:tbl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内部使用 | 版本 2026.01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星海科技 | 员工手册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32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 Unicode MS" w:hAnsi="Arial Unicode MS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 Unicode MS" w:hAnsi="Arial Unicode MS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 Unicode MS" w:hAnsi="Arial Unicode MS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eastAsia="Arial Unicode M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employee_handbook</dc:title>
  <dc:subject/>
  <dc:creator>AI Knowledge Hub Fixture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