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2C989C">
      <w:pPr>
        <w:spacing w:before="360" w:after="80" w:line="252" w:lineRule="auto"/>
      </w:pPr>
      <w:r>
        <w:rPr>
          <w:rFonts w:ascii="Calibri" w:hAnsi="Calibri" w:eastAsia="STHeiti"/>
          <w:b/>
          <w:color w:val="595959"/>
          <w:sz w:val="24"/>
        </w:rPr>
        <w:t>产品需求文档 PRD</w:t>
      </w:r>
    </w:p>
    <w:p w14:paraId="67AC3293">
      <w:pPr>
        <w:spacing w:before="0" w:after="120" w:line="252" w:lineRule="auto"/>
      </w:pPr>
      <w:r>
        <w:rPr>
          <w:rFonts w:ascii="Calibri" w:hAnsi="Calibri" w:eastAsia="STHeiti"/>
          <w:b/>
          <w:color w:val="172B4D"/>
          <w:sz w:val="48"/>
        </w:rPr>
        <w:t>实时电商 A/B 测试与归因分析看板</w:t>
      </w:r>
    </w:p>
    <w:p w14:paraId="62BE3CD7">
      <w:pPr>
        <w:spacing w:before="0" w:after="280" w:line="264" w:lineRule="auto"/>
      </w:pPr>
      <w:r>
        <w:rPr>
          <w:rFonts w:ascii="Calibri" w:hAnsi="Calibri" w:eastAsia="STHeiti"/>
          <w:color w:val="595959"/>
          <w:sz w:val="25"/>
        </w:rPr>
        <w:t>面向增长实验决策、渠道归因和实时经营监控的数据产品作品集项目</w:t>
      </w:r>
    </w:p>
    <w:p w14:paraId="4D10092A">
      <w:pPr>
        <w:spacing w:before="0" w:after="40" w:line="259" w:lineRule="auto"/>
      </w:pPr>
      <w:r>
        <w:rPr>
          <w:rFonts w:ascii="Calibri" w:hAnsi="Calibri" w:eastAsia="STHeiti"/>
          <w:b/>
          <w:color w:val="172B4D"/>
          <w:sz w:val="21"/>
        </w:rPr>
        <w:t xml:space="preserve">文档类型: </w:t>
      </w:r>
      <w:r>
        <w:rPr>
          <w:rFonts w:ascii="Calibri" w:hAnsi="Calibri" w:eastAsia="STHeiti"/>
          <w:color w:val="172B4D"/>
          <w:sz w:val="21"/>
        </w:rPr>
        <w:t>Product Requirements Document</w:t>
      </w:r>
    </w:p>
    <w:p w14:paraId="349ECCE9">
      <w:pPr>
        <w:spacing w:before="0" w:after="40" w:line="259" w:lineRule="auto"/>
      </w:pPr>
      <w:r>
        <w:rPr>
          <w:rFonts w:ascii="Calibri" w:hAnsi="Calibri" w:eastAsia="STHeiti"/>
          <w:b/>
          <w:color w:val="172B4D"/>
          <w:sz w:val="21"/>
        </w:rPr>
        <w:t xml:space="preserve">项目定位: </w:t>
      </w:r>
      <w:r>
        <w:rPr>
          <w:rFonts w:ascii="Calibri" w:hAnsi="Calibri" w:eastAsia="STHeiti"/>
          <w:color w:val="172B4D"/>
          <w:sz w:val="21"/>
        </w:rPr>
        <w:t>数据产品作品集项目</w:t>
      </w:r>
    </w:p>
    <w:p w14:paraId="5146C52A">
      <w:pPr>
        <w:spacing w:before="0" w:after="40" w:line="259" w:lineRule="auto"/>
      </w:pPr>
      <w:r>
        <w:rPr>
          <w:rFonts w:ascii="Calibri" w:hAnsi="Calibri" w:eastAsia="STHeiti"/>
          <w:b/>
          <w:color w:val="172B4D"/>
          <w:sz w:val="21"/>
        </w:rPr>
        <w:t xml:space="preserve">目标岗位方向: </w:t>
      </w:r>
      <w:r>
        <w:rPr>
          <w:rFonts w:ascii="Calibri" w:hAnsi="Calibri" w:eastAsia="STHeiti"/>
          <w:color w:val="172B4D"/>
          <w:sz w:val="21"/>
        </w:rPr>
        <w:t>增长/实验方向数据产品经理</w:t>
      </w:r>
    </w:p>
    <w:p w14:paraId="722ACF26">
      <w:pPr>
        <w:spacing w:before="0" w:after="40" w:line="259" w:lineRule="auto"/>
      </w:pPr>
      <w:r>
        <w:rPr>
          <w:rFonts w:ascii="Calibri" w:hAnsi="Calibri" w:eastAsia="STHeiti"/>
          <w:b/>
          <w:color w:val="172B4D"/>
          <w:sz w:val="21"/>
        </w:rPr>
        <w:t xml:space="preserve">业务场景: </w:t>
      </w:r>
      <w:r>
        <w:rPr>
          <w:rFonts w:ascii="Calibri" w:hAnsi="Calibri" w:eastAsia="STHeiti"/>
          <w:color w:val="172B4D"/>
          <w:sz w:val="21"/>
        </w:rPr>
        <w:t>综合电商平台</w:t>
      </w:r>
    </w:p>
    <w:p w14:paraId="7F284DFF">
      <w:pPr>
        <w:spacing w:before="0" w:after="40" w:line="259" w:lineRule="auto"/>
      </w:pPr>
      <w:r>
        <w:rPr>
          <w:rFonts w:ascii="Calibri" w:hAnsi="Calibri" w:eastAsia="STHeiti"/>
          <w:b/>
          <w:color w:val="172B4D"/>
          <w:sz w:val="21"/>
        </w:rPr>
        <w:t xml:space="preserve">版本: </w:t>
      </w:r>
      <w:r>
        <w:rPr>
          <w:rFonts w:ascii="Calibri" w:hAnsi="Calibri" w:eastAsia="STHeiti"/>
          <w:color w:val="172B4D"/>
          <w:sz w:val="21"/>
        </w:rPr>
        <w:t>V1.0</w:t>
      </w:r>
    </w:p>
    <w:p w14:paraId="2455813F">
      <w:pPr>
        <w:spacing w:before="0" w:after="40" w:line="259" w:lineRule="auto"/>
      </w:pPr>
      <w:r>
        <w:rPr>
          <w:rFonts w:ascii="Calibri" w:hAnsi="Calibri" w:eastAsia="STHeiti"/>
          <w:b/>
          <w:color w:val="172B4D"/>
          <w:sz w:val="21"/>
        </w:rPr>
        <w:t xml:space="preserve">日期: </w:t>
      </w:r>
      <w:r>
        <w:rPr>
          <w:rFonts w:ascii="Calibri" w:hAnsi="Calibri" w:eastAsia="STHeiti"/>
          <w:color w:val="172B4D"/>
          <w:sz w:val="21"/>
        </w:rPr>
        <w:t>2026-07-29</w:t>
      </w:r>
    </w:p>
    <w:p w14:paraId="46494E43">
      <w:pPr>
        <w:spacing w:before="0" w:after="40" w:line="259" w:lineRule="auto"/>
      </w:pPr>
      <w:r>
        <w:rPr>
          <w:rFonts w:ascii="Calibri" w:hAnsi="Calibri" w:eastAsia="STHeiti"/>
          <w:b/>
          <w:color w:val="172B4D"/>
          <w:sz w:val="21"/>
        </w:rPr>
        <w:t xml:space="preserve">适用读者: </w:t>
      </w:r>
      <w:r>
        <w:rPr>
          <w:rFonts w:ascii="Calibri" w:hAnsi="Calibri" w:eastAsia="STHeiti"/>
          <w:color w:val="172B4D"/>
          <w:sz w:val="21"/>
        </w:rPr>
        <w:t>增长产品、数据产品、数据分析、后端研发、前端研发、运营投放团队</w:t>
      </w:r>
    </w:p>
    <w:p w14:paraId="3DA0BD09">
      <w:pPr>
        <w:pBdr>
          <w:bottom w:val="single" w:color="2E74B5" w:sz="10" w:space="1"/>
        </w:pBdr>
        <w:spacing w:before="160" w:after="24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0"/>
      </w:tblGrid>
      <w:tr w14:paraId="1F80716F">
        <w:tc>
          <w:tcPr>
            <w:tcW w:w="9360" w:type="dxa"/>
            <w:shd w:val="clear" w:color="auto" w:fill="E8EEF5"/>
            <w:tcMar>
              <w:top w:w="140" w:type="dxa"/>
              <w:left w:w="160" w:type="dxa"/>
              <w:bottom w:w="140" w:type="dxa"/>
              <w:right w:w="160" w:type="dxa"/>
            </w:tcMar>
          </w:tcPr>
          <w:p w14:paraId="17F07ABF">
            <w:pPr>
              <w:spacing w:before="0" w:after="40" w:line="264" w:lineRule="auto"/>
            </w:pPr>
            <w:r>
              <w:rPr>
                <w:rFonts w:ascii="Calibri" w:hAnsi="Calibri" w:eastAsia="STHeiti"/>
                <w:b/>
                <w:color w:val="172B4D"/>
                <w:sz w:val="21"/>
              </w:rPr>
              <w:t>核心产品判断</w:t>
            </w:r>
          </w:p>
          <w:p w14:paraId="332AF5FB">
            <w:pPr>
              <w:spacing w:before="0" w:after="0" w:line="269" w:lineRule="auto"/>
            </w:pPr>
            <w:r>
              <w:rPr>
                <w:rFonts w:ascii="Calibri" w:hAnsi="Calibri" w:eastAsia="STHeiti"/>
                <w:color w:val="172B4D"/>
                <w:sz w:val="20"/>
              </w:rPr>
              <w:t>本产品不是单纯的数据展示看板，而是围绕“发现问题 - 定位原因 - 验证策略 - 做出上线决策”的增长实验闭环设计。PRD 重点体现数据产品经理对业务目标、指标口径、实验结论和跨团队交付边界的定义能力。</w:t>
            </w:r>
          </w:p>
        </w:tc>
      </w:tr>
    </w:tbl>
    <w:p w14:paraId="5816BC43"/>
    <w:p w14:paraId="04B35376">
      <w:pPr>
        <w:pStyle w:val="3"/>
        <w:spacing w:before="320" w:after="120" w:line="264" w:lineRule="auto"/>
      </w:pPr>
      <w:r>
        <w:rPr>
          <w:rFonts w:ascii="Calibri" w:hAnsi="Calibri" w:eastAsia="STHeiti"/>
          <w:b/>
          <w:color w:val="2E74B5"/>
          <w:sz w:val="32"/>
        </w:rPr>
        <w:t>1. 文档信息</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5F148D34">
        <w:tc>
          <w:tcPr>
            <w:tcW w:w="2088" w:type="dxa"/>
            <w:shd w:val="clear" w:color="auto" w:fill="F2F4F7"/>
            <w:tcMar>
              <w:top w:w="80" w:type="dxa"/>
              <w:left w:w="120" w:type="dxa"/>
              <w:bottom w:w="80" w:type="dxa"/>
              <w:right w:w="120" w:type="dxa"/>
            </w:tcMar>
            <w:vAlign w:val="center"/>
          </w:tcPr>
          <w:p w14:paraId="5DF69703">
            <w:pPr>
              <w:spacing w:before="0" w:after="0" w:line="259" w:lineRule="auto"/>
              <w:jc w:val="center"/>
            </w:pPr>
            <w:r>
              <w:rPr>
                <w:rFonts w:ascii="Calibri" w:hAnsi="Calibri" w:eastAsia="STHeiti"/>
                <w:b/>
                <w:color w:val="172B4D"/>
                <w:sz w:val="18"/>
              </w:rPr>
              <w:t>字段</w:t>
            </w:r>
          </w:p>
        </w:tc>
        <w:tc>
          <w:tcPr>
            <w:tcW w:w="7272" w:type="dxa"/>
            <w:shd w:val="clear" w:color="auto" w:fill="F2F4F7"/>
            <w:tcMar>
              <w:top w:w="80" w:type="dxa"/>
              <w:left w:w="120" w:type="dxa"/>
              <w:bottom w:w="80" w:type="dxa"/>
              <w:right w:w="120" w:type="dxa"/>
            </w:tcMar>
            <w:vAlign w:val="center"/>
          </w:tcPr>
          <w:p w14:paraId="7BCE5FCF">
            <w:pPr>
              <w:spacing w:before="0" w:after="0" w:line="259" w:lineRule="auto"/>
              <w:jc w:val="center"/>
            </w:pPr>
            <w:r>
              <w:rPr>
                <w:rFonts w:ascii="Calibri" w:hAnsi="Calibri" w:eastAsia="STHeiti"/>
                <w:b/>
                <w:color w:val="172B4D"/>
                <w:sz w:val="18"/>
              </w:rPr>
              <w:t>说明</w:t>
            </w:r>
          </w:p>
        </w:tc>
      </w:tr>
      <w:tr w14:paraId="52AA9EDC">
        <w:tc>
          <w:tcPr>
            <w:tcW w:w="4680" w:type="dxa"/>
            <w:tcMar>
              <w:top w:w="80" w:type="dxa"/>
              <w:left w:w="120" w:type="dxa"/>
              <w:bottom w:w="80" w:type="dxa"/>
              <w:right w:w="120" w:type="dxa"/>
            </w:tcMar>
            <w:vAlign w:val="center"/>
          </w:tcPr>
          <w:p w14:paraId="2F3550CF">
            <w:pPr>
              <w:spacing w:before="0" w:after="0" w:line="259" w:lineRule="auto"/>
              <w:jc w:val="center"/>
            </w:pPr>
            <w:r>
              <w:rPr>
                <w:rFonts w:ascii="Calibri" w:hAnsi="Calibri" w:eastAsia="STHeiti"/>
                <w:b w:val="0"/>
                <w:color w:val="172B4D"/>
                <w:sz w:val="18"/>
              </w:rPr>
              <w:t>项目名称</w:t>
            </w:r>
          </w:p>
        </w:tc>
        <w:tc>
          <w:tcPr>
            <w:tcW w:w="4680" w:type="dxa"/>
            <w:tcMar>
              <w:top w:w="80" w:type="dxa"/>
              <w:left w:w="120" w:type="dxa"/>
              <w:bottom w:w="80" w:type="dxa"/>
              <w:right w:w="120" w:type="dxa"/>
            </w:tcMar>
            <w:vAlign w:val="center"/>
          </w:tcPr>
          <w:p w14:paraId="24C8D52F">
            <w:pPr>
              <w:spacing w:before="0" w:after="0" w:line="259" w:lineRule="auto"/>
            </w:pPr>
            <w:r>
              <w:rPr>
                <w:rFonts w:ascii="Calibri" w:hAnsi="Calibri" w:eastAsia="STHeiti"/>
                <w:b w:val="0"/>
                <w:color w:val="172B4D"/>
                <w:sz w:val="18"/>
              </w:rPr>
              <w:t>实时电商 A/B 测试与归因分析看板</w:t>
            </w:r>
          </w:p>
        </w:tc>
      </w:tr>
      <w:tr w14:paraId="1D8176E2">
        <w:tc>
          <w:tcPr>
            <w:tcW w:w="4680" w:type="dxa"/>
            <w:tcMar>
              <w:top w:w="80" w:type="dxa"/>
              <w:left w:w="120" w:type="dxa"/>
              <w:bottom w:w="80" w:type="dxa"/>
              <w:right w:w="120" w:type="dxa"/>
            </w:tcMar>
            <w:vAlign w:val="center"/>
          </w:tcPr>
          <w:p w14:paraId="23AA04B7">
            <w:pPr>
              <w:spacing w:before="0" w:after="0" w:line="259" w:lineRule="auto"/>
              <w:jc w:val="center"/>
            </w:pPr>
            <w:r>
              <w:rPr>
                <w:rFonts w:ascii="Calibri" w:hAnsi="Calibri" w:eastAsia="STHeiti"/>
                <w:b w:val="0"/>
                <w:color w:val="172B4D"/>
                <w:sz w:val="18"/>
              </w:rPr>
              <w:t>项目阶段</w:t>
            </w:r>
          </w:p>
        </w:tc>
        <w:tc>
          <w:tcPr>
            <w:tcW w:w="4680" w:type="dxa"/>
            <w:tcMar>
              <w:top w:w="80" w:type="dxa"/>
              <w:left w:w="120" w:type="dxa"/>
              <w:bottom w:w="80" w:type="dxa"/>
              <w:right w:w="120" w:type="dxa"/>
            </w:tcMar>
            <w:vAlign w:val="center"/>
          </w:tcPr>
          <w:p w14:paraId="137BFE2B">
            <w:pPr>
              <w:spacing w:before="0" w:after="0" w:line="259" w:lineRule="auto"/>
              <w:jc w:val="left"/>
            </w:pPr>
            <w:r>
              <w:rPr>
                <w:rFonts w:ascii="Calibri" w:hAnsi="Calibri" w:eastAsia="STHeiti"/>
                <w:b w:val="0"/>
                <w:color w:val="172B4D"/>
                <w:sz w:val="18"/>
              </w:rPr>
              <w:t>MVP / 作品集演示版</w:t>
            </w:r>
          </w:p>
        </w:tc>
      </w:tr>
      <w:tr w14:paraId="1759B158">
        <w:tc>
          <w:tcPr>
            <w:tcW w:w="4680" w:type="dxa"/>
            <w:tcMar>
              <w:top w:w="80" w:type="dxa"/>
              <w:left w:w="120" w:type="dxa"/>
              <w:bottom w:w="80" w:type="dxa"/>
              <w:right w:w="120" w:type="dxa"/>
            </w:tcMar>
            <w:vAlign w:val="center"/>
          </w:tcPr>
          <w:p w14:paraId="2211A48C">
            <w:pPr>
              <w:spacing w:before="0" w:after="0" w:line="259" w:lineRule="auto"/>
              <w:jc w:val="center"/>
            </w:pPr>
            <w:r>
              <w:rPr>
                <w:rFonts w:ascii="Calibri" w:hAnsi="Calibri" w:eastAsia="STHeiti"/>
                <w:b w:val="0"/>
                <w:color w:val="172B4D"/>
                <w:sz w:val="18"/>
              </w:rPr>
              <w:t>核心目标</w:t>
            </w:r>
          </w:p>
        </w:tc>
        <w:tc>
          <w:tcPr>
            <w:tcW w:w="4680" w:type="dxa"/>
            <w:tcMar>
              <w:top w:w="80" w:type="dxa"/>
              <w:left w:w="120" w:type="dxa"/>
              <w:bottom w:w="80" w:type="dxa"/>
              <w:right w:w="120" w:type="dxa"/>
            </w:tcMar>
            <w:vAlign w:val="center"/>
          </w:tcPr>
          <w:p w14:paraId="0C9804C9">
            <w:pPr>
              <w:spacing w:before="0" w:after="0" w:line="259" w:lineRule="auto"/>
            </w:pPr>
            <w:r>
              <w:rPr>
                <w:rFonts w:ascii="Calibri" w:hAnsi="Calibri" w:eastAsia="STHeiti"/>
                <w:b w:val="0"/>
                <w:color w:val="172B4D"/>
                <w:sz w:val="18"/>
              </w:rPr>
              <w:t>帮助综合电商增长团队实时评估实验效果、定位漏斗流失、理解渠道贡献，并形成可执行的策略决策。</w:t>
            </w:r>
          </w:p>
        </w:tc>
      </w:tr>
      <w:tr w14:paraId="1A19FE72">
        <w:tc>
          <w:tcPr>
            <w:tcW w:w="4680" w:type="dxa"/>
            <w:tcMar>
              <w:top w:w="80" w:type="dxa"/>
              <w:left w:w="120" w:type="dxa"/>
              <w:bottom w:w="80" w:type="dxa"/>
              <w:right w:w="120" w:type="dxa"/>
            </w:tcMar>
            <w:vAlign w:val="center"/>
          </w:tcPr>
          <w:p w14:paraId="6537E50F">
            <w:pPr>
              <w:spacing w:before="0" w:after="0" w:line="259" w:lineRule="auto"/>
              <w:jc w:val="center"/>
            </w:pPr>
            <w:r>
              <w:rPr>
                <w:rFonts w:ascii="Calibri" w:hAnsi="Calibri" w:eastAsia="STHeiti"/>
                <w:b w:val="0"/>
                <w:color w:val="172B4D"/>
                <w:sz w:val="18"/>
              </w:rPr>
              <w:t>产品边界</w:t>
            </w:r>
          </w:p>
        </w:tc>
        <w:tc>
          <w:tcPr>
            <w:tcW w:w="4680" w:type="dxa"/>
            <w:tcMar>
              <w:top w:w="80" w:type="dxa"/>
              <w:left w:w="120" w:type="dxa"/>
              <w:bottom w:w="80" w:type="dxa"/>
              <w:right w:w="120" w:type="dxa"/>
            </w:tcMar>
            <w:vAlign w:val="center"/>
          </w:tcPr>
          <w:p w14:paraId="5BEFCF92">
            <w:pPr>
              <w:spacing w:before="0" w:after="0" w:line="259" w:lineRule="auto"/>
            </w:pPr>
            <w:r>
              <w:rPr>
                <w:rFonts w:ascii="Calibri" w:hAnsi="Calibri" w:eastAsia="STHeiti"/>
                <w:b w:val="0"/>
                <w:color w:val="172B4D"/>
                <w:sz w:val="18"/>
              </w:rPr>
              <w:t>第一版不包含登录权限、多租户、真实支付、真实广告平台回传和复杂实时流计算。</w:t>
            </w:r>
          </w:p>
        </w:tc>
      </w:tr>
      <w:tr w14:paraId="6360B2D4">
        <w:tc>
          <w:tcPr>
            <w:tcW w:w="4680" w:type="dxa"/>
            <w:tcMar>
              <w:top w:w="80" w:type="dxa"/>
              <w:left w:w="120" w:type="dxa"/>
              <w:bottom w:w="80" w:type="dxa"/>
              <w:right w:w="120" w:type="dxa"/>
            </w:tcMar>
            <w:vAlign w:val="center"/>
          </w:tcPr>
          <w:p w14:paraId="6E9EA4C9">
            <w:pPr>
              <w:spacing w:before="0" w:after="0" w:line="259" w:lineRule="auto"/>
              <w:jc w:val="center"/>
            </w:pPr>
            <w:r>
              <w:rPr>
                <w:rFonts w:ascii="Calibri" w:hAnsi="Calibri" w:eastAsia="STHeiti"/>
                <w:b w:val="0"/>
                <w:color w:val="172B4D"/>
                <w:sz w:val="18"/>
              </w:rPr>
              <w:t>交付形态</w:t>
            </w:r>
          </w:p>
        </w:tc>
        <w:tc>
          <w:tcPr>
            <w:tcW w:w="4680" w:type="dxa"/>
            <w:tcMar>
              <w:top w:w="80" w:type="dxa"/>
              <w:left w:w="120" w:type="dxa"/>
              <w:bottom w:w="80" w:type="dxa"/>
              <w:right w:w="120" w:type="dxa"/>
            </w:tcMar>
            <w:vAlign w:val="center"/>
          </w:tcPr>
          <w:p w14:paraId="6F737768">
            <w:pPr>
              <w:spacing w:before="0" w:after="0" w:line="259" w:lineRule="auto"/>
            </w:pPr>
            <w:r>
              <w:rPr>
                <w:rFonts w:ascii="Calibri" w:hAnsi="Calibri" w:eastAsia="STHeiti"/>
                <w:b w:val="0"/>
                <w:color w:val="172B4D"/>
                <w:sz w:val="18"/>
              </w:rPr>
              <w:t>Supabase Postgres + FastAPI + Streamlit + Plotly 的端到端可访问 Demo。</w:t>
            </w:r>
          </w:p>
        </w:tc>
      </w:tr>
    </w:tbl>
    <w:p w14:paraId="5412EC15"/>
    <w:p w14:paraId="379EB36A">
      <w:pPr>
        <w:pStyle w:val="3"/>
        <w:spacing w:before="320" w:after="120" w:line="264" w:lineRule="auto"/>
      </w:pPr>
      <w:r>
        <w:rPr>
          <w:rFonts w:ascii="Calibri" w:hAnsi="Calibri" w:eastAsia="STHeiti"/>
          <w:b/>
          <w:color w:val="2E74B5"/>
          <w:sz w:val="32"/>
        </w:rPr>
        <w:t>2. 项目背景</w:t>
      </w:r>
    </w:p>
    <w:p w14:paraId="2A0D6317">
      <w:pPr>
        <w:spacing w:before="0" w:after="120" w:line="269" w:lineRule="auto"/>
      </w:pPr>
      <w:r>
        <w:rPr>
          <w:rFonts w:ascii="Calibri" w:hAnsi="Calibri" w:eastAsia="STHeiti"/>
          <w:color w:val="172B4D"/>
          <w:sz w:val="21"/>
        </w:rPr>
        <w:t>综合电商平台在活动页改版、推荐策略优化、结算流程简化和渠道投放调整中，经常需要通过 A/B 测试判断新策略是否真正提升转化。传统分析流程通常依赖离线报表和人工取数，实验结论滞后，且不同团队对转化率、GMV、渠道贡献的口径理解不一致，容易导致决策分歧。</w:t>
      </w:r>
    </w:p>
    <w:p w14:paraId="4A9A5198">
      <w:pPr>
        <w:spacing w:before="0" w:after="120" w:line="269" w:lineRule="auto"/>
      </w:pPr>
      <w:r>
        <w:rPr>
          <w:rFonts w:ascii="Calibri" w:hAnsi="Calibri" w:eastAsia="STHeiti"/>
          <w:color w:val="172B4D"/>
          <w:sz w:val="21"/>
        </w:rPr>
        <w:t>本项目通过模拟实时事件流、后端指标计算接口和交互式 Dashboard，把增长实验分析链路产品化：业务方可以看到实时经营表现，数据产品经理可以维护统一指标口径，增长 PM 可以基于显著性检验判断实验是否具备上线价值。</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0"/>
      </w:tblGrid>
      <w:tr w14:paraId="0F1CECAF">
        <w:tc>
          <w:tcPr>
            <w:tcW w:w="9360" w:type="dxa"/>
            <w:shd w:val="clear" w:color="auto" w:fill="FFF4CE"/>
            <w:tcMar>
              <w:top w:w="140" w:type="dxa"/>
              <w:left w:w="160" w:type="dxa"/>
              <w:bottom w:w="140" w:type="dxa"/>
              <w:right w:w="160" w:type="dxa"/>
            </w:tcMar>
          </w:tcPr>
          <w:p w14:paraId="47D68968">
            <w:pPr>
              <w:spacing w:before="0" w:after="40" w:line="264" w:lineRule="auto"/>
            </w:pPr>
            <w:r>
              <w:rPr>
                <w:rFonts w:ascii="Calibri" w:hAnsi="Calibri" w:eastAsia="STHeiti"/>
                <w:b/>
                <w:color w:val="172B4D"/>
                <w:sz w:val="21"/>
              </w:rPr>
              <w:t>业务痛点</w:t>
            </w:r>
          </w:p>
          <w:p w14:paraId="3A0432BD">
            <w:pPr>
              <w:spacing w:before="0" w:after="0" w:line="269" w:lineRule="auto"/>
            </w:pPr>
            <w:r>
              <w:rPr>
                <w:rFonts w:ascii="Calibri" w:hAnsi="Calibri" w:eastAsia="STHeiti"/>
                <w:color w:val="172B4D"/>
                <w:sz w:val="20"/>
              </w:rPr>
              <w:t>离线报表响应慢、实验判断依赖人工、漏斗流失定位不直观、渠道归因口径不透明、预警阈值无法由业务侧灵活配置。</w:t>
            </w:r>
          </w:p>
        </w:tc>
      </w:tr>
    </w:tbl>
    <w:p w14:paraId="2F27F2F7"/>
    <w:p w14:paraId="54964F7E">
      <w:pPr>
        <w:pStyle w:val="3"/>
        <w:spacing w:before="320" w:after="120" w:line="264" w:lineRule="auto"/>
      </w:pPr>
      <w:r>
        <w:rPr>
          <w:rFonts w:ascii="Calibri" w:hAnsi="Calibri" w:eastAsia="STHeiti"/>
          <w:b/>
          <w:color w:val="2E74B5"/>
          <w:sz w:val="32"/>
        </w:rPr>
        <w:t>3. 产品目标</w:t>
      </w:r>
    </w:p>
    <w:p w14:paraId="3B7C3062">
      <w:pPr>
        <w:pStyle w:val="16"/>
        <w:spacing w:before="0" w:after="80" w:line="269" w:lineRule="auto"/>
      </w:pPr>
      <w:r>
        <w:rPr>
          <w:rFonts w:ascii="Calibri" w:hAnsi="Calibri" w:eastAsia="STHeiti"/>
          <w:color w:val="172B4D"/>
          <w:sz w:val="21"/>
        </w:rPr>
        <w:t>实时监控 DAU、GMV、购买转化率、平均订单金额等核心经营指标。</w:t>
      </w:r>
    </w:p>
    <w:p w14:paraId="77FA1687">
      <w:pPr>
        <w:pStyle w:val="16"/>
        <w:spacing w:before="0" w:after="80" w:line="269" w:lineRule="auto"/>
      </w:pPr>
      <w:r>
        <w:rPr>
          <w:rFonts w:ascii="Calibri" w:hAnsi="Calibri" w:eastAsia="STHeiti"/>
          <w:color w:val="172B4D"/>
          <w:sz w:val="21"/>
        </w:rPr>
        <w:t>自动评估 A/B 实验效果，输出业务可读的实验结论。</w:t>
      </w:r>
    </w:p>
    <w:p w14:paraId="60281488">
      <w:pPr>
        <w:pStyle w:val="16"/>
        <w:spacing w:before="0" w:after="80" w:line="269" w:lineRule="auto"/>
      </w:pPr>
      <w:r>
        <w:rPr>
          <w:rFonts w:ascii="Calibri" w:hAnsi="Calibri" w:eastAsia="STHeiti"/>
          <w:color w:val="172B4D"/>
          <w:sz w:val="21"/>
        </w:rPr>
        <w:t>通过 click → add_to_cart → buy 漏斗定位转化流失环节。</w:t>
      </w:r>
    </w:p>
    <w:p w14:paraId="165D2494">
      <w:pPr>
        <w:pStyle w:val="16"/>
        <w:spacing w:before="0" w:after="80" w:line="269" w:lineRule="auto"/>
      </w:pPr>
      <w:r>
        <w:rPr>
          <w:rFonts w:ascii="Calibri" w:hAnsi="Calibri" w:eastAsia="STHeiti"/>
          <w:color w:val="172B4D"/>
          <w:sz w:val="21"/>
        </w:rPr>
        <w:t>支持首次触达和最后触达归因模型切换，辅助判断渠道贡献。</w:t>
      </w:r>
    </w:p>
    <w:p w14:paraId="4DA7F262">
      <w:pPr>
        <w:pStyle w:val="16"/>
        <w:spacing w:before="0" w:after="80" w:line="269" w:lineRule="auto"/>
      </w:pPr>
      <w:r>
        <w:rPr>
          <w:rFonts w:ascii="Calibri" w:hAnsi="Calibri" w:eastAsia="STHeiti"/>
          <w:color w:val="172B4D"/>
          <w:sz w:val="21"/>
        </w:rPr>
        <w:t>支持实验分流比例和指标预警阈值配置，形成策略管理闭环。</w:t>
      </w:r>
    </w:p>
    <w:p w14:paraId="39ED47C4">
      <w:pPr>
        <w:pStyle w:val="3"/>
        <w:spacing w:before="320" w:after="120" w:line="264" w:lineRule="auto"/>
      </w:pPr>
      <w:r>
        <w:rPr>
          <w:rFonts w:ascii="Calibri" w:hAnsi="Calibri" w:eastAsia="STHeiti"/>
          <w:b/>
          <w:color w:val="2E74B5"/>
          <w:sz w:val="32"/>
        </w:rPr>
        <w:t>4. 目标用户与使用场景</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5C8DD1AF">
        <w:tc>
          <w:tcPr>
            <w:tcW w:w="3120" w:type="dxa"/>
            <w:shd w:val="clear" w:color="auto" w:fill="F2F4F7"/>
            <w:tcMar>
              <w:top w:w="80" w:type="dxa"/>
              <w:left w:w="120" w:type="dxa"/>
              <w:bottom w:w="80" w:type="dxa"/>
              <w:right w:w="120" w:type="dxa"/>
            </w:tcMar>
            <w:vAlign w:val="center"/>
          </w:tcPr>
          <w:p w14:paraId="1296D755">
            <w:pPr>
              <w:spacing w:before="0" w:after="0" w:line="259" w:lineRule="auto"/>
              <w:jc w:val="center"/>
            </w:pPr>
            <w:r>
              <w:rPr>
                <w:rFonts w:ascii="Calibri" w:hAnsi="Calibri" w:eastAsia="STHeiti"/>
                <w:b/>
                <w:color w:val="172B4D"/>
                <w:sz w:val="18"/>
              </w:rPr>
              <w:t>用户角色</w:t>
            </w:r>
          </w:p>
        </w:tc>
        <w:tc>
          <w:tcPr>
            <w:tcW w:w="3120" w:type="dxa"/>
            <w:shd w:val="clear" w:color="auto" w:fill="F2F4F7"/>
            <w:tcMar>
              <w:top w:w="80" w:type="dxa"/>
              <w:left w:w="120" w:type="dxa"/>
              <w:bottom w:w="80" w:type="dxa"/>
              <w:right w:w="120" w:type="dxa"/>
            </w:tcMar>
            <w:vAlign w:val="center"/>
          </w:tcPr>
          <w:p w14:paraId="74F676C8">
            <w:pPr>
              <w:spacing w:before="0" w:after="0" w:line="259" w:lineRule="auto"/>
              <w:jc w:val="center"/>
            </w:pPr>
            <w:r>
              <w:rPr>
                <w:rFonts w:ascii="Calibri" w:hAnsi="Calibri" w:eastAsia="STHeiti"/>
                <w:b/>
                <w:color w:val="172B4D"/>
                <w:sz w:val="18"/>
              </w:rPr>
              <w:t>核心诉求</w:t>
            </w:r>
          </w:p>
        </w:tc>
        <w:tc>
          <w:tcPr>
            <w:tcW w:w="3120" w:type="dxa"/>
            <w:shd w:val="clear" w:color="auto" w:fill="F2F4F7"/>
            <w:tcMar>
              <w:top w:w="80" w:type="dxa"/>
              <w:left w:w="120" w:type="dxa"/>
              <w:bottom w:w="80" w:type="dxa"/>
              <w:right w:w="120" w:type="dxa"/>
            </w:tcMar>
            <w:vAlign w:val="center"/>
          </w:tcPr>
          <w:p w14:paraId="460B34F2">
            <w:pPr>
              <w:spacing w:before="0" w:after="0" w:line="259" w:lineRule="auto"/>
              <w:jc w:val="center"/>
            </w:pPr>
            <w:r>
              <w:rPr>
                <w:rFonts w:ascii="Calibri" w:hAnsi="Calibri" w:eastAsia="STHeiti"/>
                <w:b/>
                <w:color w:val="172B4D"/>
                <w:sz w:val="18"/>
              </w:rPr>
              <w:t>典型使用路径</w:t>
            </w:r>
          </w:p>
        </w:tc>
      </w:tr>
      <w:tr w14:paraId="76B5259E">
        <w:tc>
          <w:tcPr>
            <w:tcW w:w="3120" w:type="dxa"/>
            <w:tcMar>
              <w:top w:w="80" w:type="dxa"/>
              <w:left w:w="120" w:type="dxa"/>
              <w:bottom w:w="80" w:type="dxa"/>
              <w:right w:w="120" w:type="dxa"/>
            </w:tcMar>
            <w:vAlign w:val="center"/>
          </w:tcPr>
          <w:p w14:paraId="314E1B6F">
            <w:pPr>
              <w:spacing w:before="0" w:after="0" w:line="259" w:lineRule="auto"/>
              <w:jc w:val="center"/>
            </w:pPr>
            <w:r>
              <w:rPr>
                <w:rFonts w:ascii="Calibri" w:hAnsi="Calibri" w:eastAsia="STHeiti"/>
                <w:b w:val="0"/>
                <w:color w:val="172B4D"/>
                <w:sz w:val="17"/>
              </w:rPr>
              <w:t>增长产品经理</w:t>
            </w:r>
          </w:p>
        </w:tc>
        <w:tc>
          <w:tcPr>
            <w:tcW w:w="3120" w:type="dxa"/>
            <w:tcMar>
              <w:top w:w="80" w:type="dxa"/>
              <w:left w:w="120" w:type="dxa"/>
              <w:bottom w:w="80" w:type="dxa"/>
              <w:right w:w="120" w:type="dxa"/>
            </w:tcMar>
            <w:vAlign w:val="center"/>
          </w:tcPr>
          <w:p w14:paraId="747A9C41">
            <w:pPr>
              <w:spacing w:before="0" w:after="0" w:line="259" w:lineRule="auto"/>
            </w:pPr>
            <w:r>
              <w:rPr>
                <w:rFonts w:ascii="Calibri" w:hAnsi="Calibri" w:eastAsia="STHeiti"/>
                <w:b w:val="0"/>
                <w:color w:val="172B4D"/>
                <w:sz w:val="17"/>
              </w:rPr>
              <w:t>判断实验策略是否值得继续、停止或全量上线。</w:t>
            </w:r>
          </w:p>
        </w:tc>
        <w:tc>
          <w:tcPr>
            <w:tcW w:w="3120" w:type="dxa"/>
            <w:tcMar>
              <w:top w:w="80" w:type="dxa"/>
              <w:left w:w="120" w:type="dxa"/>
              <w:bottom w:w="80" w:type="dxa"/>
              <w:right w:w="120" w:type="dxa"/>
            </w:tcMar>
            <w:vAlign w:val="center"/>
          </w:tcPr>
          <w:p w14:paraId="6C2AEDB2">
            <w:pPr>
              <w:spacing w:before="0" w:after="0" w:line="259" w:lineRule="auto"/>
            </w:pPr>
            <w:r>
              <w:rPr>
                <w:rFonts w:ascii="Calibri" w:hAnsi="Calibri" w:eastAsia="STHeiti"/>
                <w:b w:val="0"/>
                <w:color w:val="172B4D"/>
                <w:sz w:val="17"/>
              </w:rPr>
              <w:t>查看实验评估模块，比较 A/B 转化率、GMV、uplift 和 p-value，读取自动结论。</w:t>
            </w:r>
          </w:p>
        </w:tc>
      </w:tr>
      <w:tr w14:paraId="796A3B93">
        <w:tc>
          <w:tcPr>
            <w:tcW w:w="3120" w:type="dxa"/>
            <w:tcMar>
              <w:top w:w="80" w:type="dxa"/>
              <w:left w:w="120" w:type="dxa"/>
              <w:bottom w:w="80" w:type="dxa"/>
              <w:right w:w="120" w:type="dxa"/>
            </w:tcMar>
            <w:vAlign w:val="center"/>
          </w:tcPr>
          <w:p w14:paraId="6D42D55E">
            <w:pPr>
              <w:spacing w:before="0" w:after="0" w:line="259" w:lineRule="auto"/>
              <w:jc w:val="center"/>
            </w:pPr>
            <w:r>
              <w:rPr>
                <w:rFonts w:ascii="Calibri" w:hAnsi="Calibri" w:eastAsia="STHeiti"/>
                <w:b w:val="0"/>
                <w:color w:val="172B4D"/>
                <w:sz w:val="17"/>
              </w:rPr>
              <w:t>数据产品经理</w:t>
            </w:r>
          </w:p>
        </w:tc>
        <w:tc>
          <w:tcPr>
            <w:tcW w:w="3120" w:type="dxa"/>
            <w:tcMar>
              <w:top w:w="80" w:type="dxa"/>
              <w:left w:w="120" w:type="dxa"/>
              <w:bottom w:w="80" w:type="dxa"/>
              <w:right w:w="120" w:type="dxa"/>
            </w:tcMar>
            <w:vAlign w:val="center"/>
          </w:tcPr>
          <w:p w14:paraId="2CBA8174">
            <w:pPr>
              <w:spacing w:before="0" w:after="0" w:line="259" w:lineRule="auto"/>
            </w:pPr>
            <w:r>
              <w:rPr>
                <w:rFonts w:ascii="Calibri" w:hAnsi="Calibri" w:eastAsia="STHeiti"/>
                <w:b w:val="0"/>
                <w:color w:val="172B4D"/>
                <w:sz w:val="17"/>
              </w:rPr>
              <w:t>统一指标口径，沉淀实验分析能力，推动数据链路产品化。</w:t>
            </w:r>
          </w:p>
        </w:tc>
        <w:tc>
          <w:tcPr>
            <w:tcW w:w="3120" w:type="dxa"/>
            <w:tcMar>
              <w:top w:w="80" w:type="dxa"/>
              <w:left w:w="120" w:type="dxa"/>
              <w:bottom w:w="80" w:type="dxa"/>
              <w:right w:w="120" w:type="dxa"/>
            </w:tcMar>
            <w:vAlign w:val="center"/>
          </w:tcPr>
          <w:p w14:paraId="3C1C93E5">
            <w:pPr>
              <w:spacing w:before="0" w:after="0" w:line="259" w:lineRule="auto"/>
            </w:pPr>
            <w:r>
              <w:rPr>
                <w:rFonts w:ascii="Calibri" w:hAnsi="Calibri" w:eastAsia="STHeiti"/>
                <w:b w:val="0"/>
                <w:color w:val="172B4D"/>
                <w:sz w:val="17"/>
              </w:rPr>
              <w:t>维护 PRD 口径、验收 API 指标结果、定义异常与阈值规则。</w:t>
            </w:r>
          </w:p>
        </w:tc>
      </w:tr>
      <w:tr w14:paraId="4B806EF6">
        <w:tc>
          <w:tcPr>
            <w:tcW w:w="3120" w:type="dxa"/>
            <w:tcMar>
              <w:top w:w="80" w:type="dxa"/>
              <w:left w:w="120" w:type="dxa"/>
              <w:bottom w:w="80" w:type="dxa"/>
              <w:right w:w="120" w:type="dxa"/>
            </w:tcMar>
            <w:vAlign w:val="center"/>
          </w:tcPr>
          <w:p w14:paraId="2F862A87">
            <w:pPr>
              <w:spacing w:before="0" w:after="0" w:line="259" w:lineRule="auto"/>
              <w:jc w:val="center"/>
            </w:pPr>
            <w:r>
              <w:rPr>
                <w:rFonts w:ascii="Calibri" w:hAnsi="Calibri" w:eastAsia="STHeiti"/>
                <w:b w:val="0"/>
                <w:color w:val="172B4D"/>
                <w:sz w:val="17"/>
              </w:rPr>
              <w:t>运营/投放同学</w:t>
            </w:r>
          </w:p>
        </w:tc>
        <w:tc>
          <w:tcPr>
            <w:tcW w:w="3120" w:type="dxa"/>
            <w:tcMar>
              <w:top w:w="80" w:type="dxa"/>
              <w:left w:w="120" w:type="dxa"/>
              <w:bottom w:w="80" w:type="dxa"/>
              <w:right w:w="120" w:type="dxa"/>
            </w:tcMar>
            <w:vAlign w:val="center"/>
          </w:tcPr>
          <w:p w14:paraId="5C91A8CE">
            <w:pPr>
              <w:spacing w:before="0" w:after="0" w:line="259" w:lineRule="auto"/>
            </w:pPr>
            <w:r>
              <w:rPr>
                <w:rFonts w:ascii="Calibri" w:hAnsi="Calibri" w:eastAsia="STHeiti"/>
                <w:b w:val="0"/>
                <w:color w:val="172B4D"/>
                <w:sz w:val="17"/>
              </w:rPr>
              <w:t>理解不同渠道的订单和 GMV 贡献，调整预算或活动策略。</w:t>
            </w:r>
          </w:p>
        </w:tc>
        <w:tc>
          <w:tcPr>
            <w:tcW w:w="3120" w:type="dxa"/>
            <w:tcMar>
              <w:top w:w="80" w:type="dxa"/>
              <w:left w:w="120" w:type="dxa"/>
              <w:bottom w:w="80" w:type="dxa"/>
              <w:right w:w="120" w:type="dxa"/>
            </w:tcMar>
            <w:vAlign w:val="center"/>
          </w:tcPr>
          <w:p w14:paraId="318DFD5B">
            <w:pPr>
              <w:spacing w:before="0" w:after="0" w:line="259" w:lineRule="auto"/>
            </w:pPr>
            <w:r>
              <w:rPr>
                <w:rFonts w:ascii="Calibri" w:hAnsi="Calibri" w:eastAsia="STHeiti"/>
                <w:b w:val="0"/>
                <w:color w:val="172B4D"/>
                <w:sz w:val="17"/>
              </w:rPr>
              <w:t>切换归因模型，查看渠道贡献排行，并结合漏斗流失判断渠道质量。</w:t>
            </w:r>
          </w:p>
        </w:tc>
      </w:tr>
      <w:tr w14:paraId="180460CB">
        <w:tc>
          <w:tcPr>
            <w:tcW w:w="3120" w:type="dxa"/>
            <w:tcMar>
              <w:top w:w="80" w:type="dxa"/>
              <w:left w:w="120" w:type="dxa"/>
              <w:bottom w:w="80" w:type="dxa"/>
              <w:right w:w="120" w:type="dxa"/>
            </w:tcMar>
            <w:vAlign w:val="center"/>
          </w:tcPr>
          <w:p w14:paraId="4B3A7900">
            <w:pPr>
              <w:spacing w:before="0" w:after="0" w:line="259" w:lineRule="auto"/>
              <w:jc w:val="center"/>
            </w:pPr>
            <w:r>
              <w:rPr>
                <w:rFonts w:ascii="Calibri" w:hAnsi="Calibri" w:eastAsia="STHeiti"/>
                <w:b w:val="0"/>
                <w:color w:val="172B4D"/>
                <w:sz w:val="17"/>
              </w:rPr>
              <w:t>数据分析师</w:t>
            </w:r>
          </w:p>
        </w:tc>
        <w:tc>
          <w:tcPr>
            <w:tcW w:w="3120" w:type="dxa"/>
            <w:tcMar>
              <w:top w:w="80" w:type="dxa"/>
              <w:left w:w="120" w:type="dxa"/>
              <w:bottom w:w="80" w:type="dxa"/>
              <w:right w:w="120" w:type="dxa"/>
            </w:tcMar>
            <w:vAlign w:val="center"/>
          </w:tcPr>
          <w:p w14:paraId="763D9B57">
            <w:pPr>
              <w:spacing w:before="0" w:after="0" w:line="259" w:lineRule="auto"/>
            </w:pPr>
            <w:r>
              <w:rPr>
                <w:rFonts w:ascii="Calibri" w:hAnsi="Calibri" w:eastAsia="STHeiti"/>
                <w:b w:val="0"/>
                <w:color w:val="172B4D"/>
                <w:sz w:val="17"/>
              </w:rPr>
              <w:t>复核实验结论，定位异常波动来源。</w:t>
            </w:r>
          </w:p>
        </w:tc>
        <w:tc>
          <w:tcPr>
            <w:tcW w:w="3120" w:type="dxa"/>
            <w:tcMar>
              <w:top w:w="80" w:type="dxa"/>
              <w:left w:w="120" w:type="dxa"/>
              <w:bottom w:w="80" w:type="dxa"/>
              <w:right w:w="120" w:type="dxa"/>
            </w:tcMar>
            <w:vAlign w:val="center"/>
          </w:tcPr>
          <w:p w14:paraId="7049AEB9">
            <w:pPr>
              <w:spacing w:before="0" w:after="0" w:line="259" w:lineRule="auto"/>
            </w:pPr>
            <w:r>
              <w:rPr>
                <w:rFonts w:ascii="Calibri" w:hAnsi="Calibri" w:eastAsia="STHeiti"/>
                <w:b w:val="0"/>
                <w:color w:val="172B4D"/>
                <w:sz w:val="17"/>
              </w:rPr>
              <w:t>按时间、实验组、渠道下钻，检查样本量、漏斗转化和指标趋势。</w:t>
            </w:r>
          </w:p>
        </w:tc>
      </w:tr>
    </w:tbl>
    <w:p w14:paraId="7A4FA7C6"/>
    <w:p w14:paraId="7696D348">
      <w:pPr>
        <w:pStyle w:val="4"/>
        <w:spacing w:before="200" w:after="120" w:line="264" w:lineRule="auto"/>
      </w:pPr>
      <w:r>
        <w:rPr>
          <w:rFonts w:ascii="Calibri" w:hAnsi="Calibri" w:eastAsia="STHeiti"/>
          <w:b/>
          <w:color w:val="2E74B5"/>
          <w:sz w:val="26"/>
        </w:rPr>
        <w:t>4.1 核心业务场景</w:t>
      </w:r>
    </w:p>
    <w:p w14:paraId="5BEE12A2">
      <w:pPr>
        <w:pStyle w:val="14"/>
        <w:spacing w:before="0" w:after="80" w:line="269" w:lineRule="auto"/>
      </w:pPr>
      <w:r>
        <w:rPr>
          <w:rFonts w:ascii="Calibri" w:hAnsi="Calibri" w:eastAsia="STHeiti"/>
          <w:color w:val="172B4D"/>
          <w:sz w:val="21"/>
        </w:rPr>
        <w:t>活动页改版后，增长 PM 需要在实验运行期实时确认 B 组是否提升购买转化率。</w:t>
      </w:r>
    </w:p>
    <w:p w14:paraId="6FF122EC">
      <w:pPr>
        <w:pStyle w:val="14"/>
        <w:spacing w:before="0" w:after="80" w:line="269" w:lineRule="auto"/>
      </w:pPr>
      <w:r>
        <w:rPr>
          <w:rFonts w:ascii="Calibri" w:hAnsi="Calibri" w:eastAsia="STHeiti"/>
          <w:color w:val="172B4D"/>
          <w:sz w:val="21"/>
        </w:rPr>
        <w:t>投放渠道 GMV 波动时，运营需要区分是渠道质量变化、漏斗异常，还是实验组差异导致。</w:t>
      </w:r>
    </w:p>
    <w:p w14:paraId="398561F5">
      <w:pPr>
        <w:pStyle w:val="14"/>
        <w:spacing w:before="0" w:after="80" w:line="269" w:lineRule="auto"/>
      </w:pPr>
      <w:r>
        <w:rPr>
          <w:rFonts w:ascii="Calibri" w:hAnsi="Calibri" w:eastAsia="STHeiti"/>
          <w:color w:val="172B4D"/>
          <w:sz w:val="21"/>
        </w:rPr>
        <w:t>实验运行到一定样本量后，团队需要基于显著性结果决定继续观察、停止实验或全量上线。</w:t>
      </w:r>
    </w:p>
    <w:p w14:paraId="17AB8962">
      <w:pPr>
        <w:pStyle w:val="14"/>
        <w:spacing w:before="0" w:after="80" w:line="269" w:lineRule="auto"/>
      </w:pPr>
      <w:r>
        <w:rPr>
          <w:rFonts w:ascii="Calibri" w:hAnsi="Calibri" w:eastAsia="STHeiti"/>
          <w:color w:val="172B4D"/>
          <w:sz w:val="21"/>
        </w:rPr>
        <w:t>当转化率低于预警阈值时，业务方需要快速定位异常发生在哪个实验组、渠道或漏斗步骤。</w:t>
      </w:r>
    </w:p>
    <w:p w14:paraId="51774D0E">
      <w:pPr>
        <w:pStyle w:val="3"/>
        <w:spacing w:before="320" w:after="120" w:line="264" w:lineRule="auto"/>
      </w:pPr>
      <w:r>
        <w:rPr>
          <w:rFonts w:ascii="Calibri" w:hAnsi="Calibri" w:eastAsia="STHeiti"/>
          <w:b/>
          <w:color w:val="2E74B5"/>
          <w:sz w:val="32"/>
        </w:rPr>
        <w:t>5. 指标体系与口径</w:t>
      </w:r>
    </w:p>
    <w:p w14:paraId="1C64DD59">
      <w:pPr>
        <w:spacing w:before="0" w:after="120" w:line="269" w:lineRule="auto"/>
      </w:pPr>
      <w:r>
        <w:rPr>
          <w:rFonts w:ascii="Calibri" w:hAnsi="Calibri" w:eastAsia="STHeiti"/>
          <w:color w:val="172B4D"/>
          <w:sz w:val="21"/>
        </w:rPr>
        <w:t>指标口径是本产品的核心资产。所有指标默认基于用户选择的时间窗口计算；涉及人数的指标使用 user_id 去重；涉及订单金额的指标仅统计 buy 事件中的 order_value。</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7B6A614C">
        <w:tc>
          <w:tcPr>
            <w:tcW w:w="1512" w:type="dxa"/>
            <w:shd w:val="clear" w:color="auto" w:fill="F2F4F7"/>
            <w:tcMar>
              <w:top w:w="80" w:type="dxa"/>
              <w:left w:w="120" w:type="dxa"/>
              <w:bottom w:w="80" w:type="dxa"/>
              <w:right w:w="120" w:type="dxa"/>
            </w:tcMar>
            <w:vAlign w:val="center"/>
          </w:tcPr>
          <w:p w14:paraId="2835B95D">
            <w:pPr>
              <w:spacing w:before="0" w:after="0" w:line="259" w:lineRule="auto"/>
              <w:jc w:val="center"/>
            </w:pPr>
            <w:r>
              <w:rPr>
                <w:rFonts w:ascii="Calibri" w:hAnsi="Calibri" w:eastAsia="STHeiti"/>
                <w:b/>
                <w:color w:val="172B4D"/>
                <w:sz w:val="18"/>
              </w:rPr>
              <w:t>指标</w:t>
            </w:r>
          </w:p>
        </w:tc>
        <w:tc>
          <w:tcPr>
            <w:tcW w:w="3024" w:type="dxa"/>
            <w:shd w:val="clear" w:color="auto" w:fill="F2F4F7"/>
            <w:tcMar>
              <w:top w:w="80" w:type="dxa"/>
              <w:left w:w="120" w:type="dxa"/>
              <w:bottom w:w="80" w:type="dxa"/>
              <w:right w:w="120" w:type="dxa"/>
            </w:tcMar>
            <w:vAlign w:val="center"/>
          </w:tcPr>
          <w:p w14:paraId="020A0D77">
            <w:pPr>
              <w:spacing w:before="0" w:after="0" w:line="259" w:lineRule="auto"/>
              <w:jc w:val="center"/>
            </w:pPr>
            <w:r>
              <w:rPr>
                <w:rFonts w:ascii="Calibri" w:hAnsi="Calibri" w:eastAsia="STHeiti"/>
                <w:b/>
                <w:color w:val="172B4D"/>
                <w:sz w:val="18"/>
              </w:rPr>
              <w:t>计算口径</w:t>
            </w:r>
          </w:p>
        </w:tc>
        <w:tc>
          <w:tcPr>
            <w:tcW w:w="2520" w:type="dxa"/>
            <w:shd w:val="clear" w:color="auto" w:fill="F2F4F7"/>
            <w:tcMar>
              <w:top w:w="80" w:type="dxa"/>
              <w:left w:w="120" w:type="dxa"/>
              <w:bottom w:w="80" w:type="dxa"/>
              <w:right w:w="120" w:type="dxa"/>
            </w:tcMar>
            <w:vAlign w:val="center"/>
          </w:tcPr>
          <w:p w14:paraId="59F0734E">
            <w:pPr>
              <w:spacing w:before="0" w:after="0" w:line="259" w:lineRule="auto"/>
              <w:jc w:val="center"/>
            </w:pPr>
            <w:r>
              <w:rPr>
                <w:rFonts w:ascii="Calibri" w:hAnsi="Calibri" w:eastAsia="STHeiti"/>
                <w:b/>
                <w:color w:val="172B4D"/>
                <w:sz w:val="18"/>
              </w:rPr>
              <w:t>业务解释</w:t>
            </w:r>
          </w:p>
        </w:tc>
        <w:tc>
          <w:tcPr>
            <w:tcW w:w="2304" w:type="dxa"/>
            <w:shd w:val="clear" w:color="auto" w:fill="F2F4F7"/>
            <w:tcMar>
              <w:top w:w="80" w:type="dxa"/>
              <w:left w:w="120" w:type="dxa"/>
              <w:bottom w:w="80" w:type="dxa"/>
              <w:right w:w="120" w:type="dxa"/>
            </w:tcMar>
            <w:vAlign w:val="center"/>
          </w:tcPr>
          <w:p w14:paraId="7ECB44A7">
            <w:pPr>
              <w:spacing w:before="0" w:after="0" w:line="259" w:lineRule="auto"/>
              <w:jc w:val="center"/>
            </w:pPr>
            <w:r>
              <w:rPr>
                <w:rFonts w:ascii="Calibri" w:hAnsi="Calibri" w:eastAsia="STHeiti"/>
                <w:b/>
                <w:color w:val="172B4D"/>
                <w:sz w:val="18"/>
              </w:rPr>
              <w:t>限制/注意事项</w:t>
            </w:r>
          </w:p>
        </w:tc>
      </w:tr>
      <w:tr w14:paraId="1C6EF7B0">
        <w:tc>
          <w:tcPr>
            <w:tcW w:w="2340" w:type="dxa"/>
            <w:tcMar>
              <w:top w:w="80" w:type="dxa"/>
              <w:left w:w="120" w:type="dxa"/>
              <w:bottom w:w="80" w:type="dxa"/>
              <w:right w:w="120" w:type="dxa"/>
            </w:tcMar>
            <w:vAlign w:val="center"/>
          </w:tcPr>
          <w:p w14:paraId="36250D95">
            <w:pPr>
              <w:spacing w:before="0" w:after="0" w:line="259" w:lineRule="auto"/>
              <w:jc w:val="center"/>
            </w:pPr>
            <w:r>
              <w:rPr>
                <w:rFonts w:ascii="Calibri" w:hAnsi="Calibri" w:eastAsia="STHeiti"/>
                <w:b w:val="0"/>
                <w:color w:val="172B4D"/>
                <w:sz w:val="16"/>
              </w:rPr>
              <w:t>DAU</w:t>
            </w:r>
          </w:p>
        </w:tc>
        <w:tc>
          <w:tcPr>
            <w:tcW w:w="2340" w:type="dxa"/>
            <w:tcMar>
              <w:top w:w="80" w:type="dxa"/>
              <w:left w:w="120" w:type="dxa"/>
              <w:bottom w:w="80" w:type="dxa"/>
              <w:right w:w="120" w:type="dxa"/>
            </w:tcMar>
            <w:vAlign w:val="center"/>
          </w:tcPr>
          <w:p w14:paraId="2FF10145">
            <w:pPr>
              <w:spacing w:before="0" w:after="0" w:line="259" w:lineRule="auto"/>
              <w:jc w:val="left"/>
            </w:pPr>
            <w:r>
              <w:rPr>
                <w:rFonts w:ascii="Calibri" w:hAnsi="Calibri" w:eastAsia="STHeiti"/>
                <w:b w:val="0"/>
                <w:color w:val="172B4D"/>
                <w:sz w:val="16"/>
              </w:rPr>
              <w:t>时间窗口内发生任意事件的去重 user_id 数。</w:t>
            </w:r>
          </w:p>
        </w:tc>
        <w:tc>
          <w:tcPr>
            <w:tcW w:w="2340" w:type="dxa"/>
            <w:tcMar>
              <w:top w:w="80" w:type="dxa"/>
              <w:left w:w="120" w:type="dxa"/>
              <w:bottom w:w="80" w:type="dxa"/>
              <w:right w:w="120" w:type="dxa"/>
            </w:tcMar>
            <w:vAlign w:val="center"/>
          </w:tcPr>
          <w:p w14:paraId="1BC1AEB2">
            <w:pPr>
              <w:spacing w:before="0" w:after="0" w:line="259" w:lineRule="auto"/>
              <w:jc w:val="left"/>
            </w:pPr>
            <w:r>
              <w:rPr>
                <w:rFonts w:ascii="Calibri" w:hAnsi="Calibri" w:eastAsia="STHeiti"/>
                <w:b w:val="0"/>
                <w:color w:val="172B4D"/>
                <w:sz w:val="16"/>
              </w:rPr>
              <w:t>衡量看板覆盖的活跃用户规模。</w:t>
            </w:r>
          </w:p>
        </w:tc>
        <w:tc>
          <w:tcPr>
            <w:tcW w:w="2340" w:type="dxa"/>
            <w:tcMar>
              <w:top w:w="80" w:type="dxa"/>
              <w:left w:w="120" w:type="dxa"/>
              <w:bottom w:w="80" w:type="dxa"/>
              <w:right w:w="120" w:type="dxa"/>
            </w:tcMar>
            <w:vAlign w:val="center"/>
          </w:tcPr>
          <w:p w14:paraId="0A64340B">
            <w:pPr>
              <w:spacing w:before="0" w:after="0" w:line="259" w:lineRule="auto"/>
              <w:jc w:val="left"/>
            </w:pPr>
            <w:r>
              <w:rPr>
                <w:rFonts w:ascii="Calibri" w:hAnsi="Calibri" w:eastAsia="STHeiti"/>
                <w:b w:val="0"/>
                <w:color w:val="172B4D"/>
                <w:sz w:val="16"/>
              </w:rPr>
              <w:t>模拟数据不代表真实注册或登录用户。</w:t>
            </w:r>
          </w:p>
        </w:tc>
      </w:tr>
      <w:tr w14:paraId="5F85EE2A">
        <w:tc>
          <w:tcPr>
            <w:tcW w:w="2340" w:type="dxa"/>
            <w:tcMar>
              <w:top w:w="80" w:type="dxa"/>
              <w:left w:w="120" w:type="dxa"/>
              <w:bottom w:w="80" w:type="dxa"/>
              <w:right w:w="120" w:type="dxa"/>
            </w:tcMar>
            <w:vAlign w:val="center"/>
          </w:tcPr>
          <w:p w14:paraId="7890EB0D">
            <w:pPr>
              <w:spacing w:before="0" w:after="0" w:line="259" w:lineRule="auto"/>
              <w:jc w:val="center"/>
            </w:pPr>
            <w:r>
              <w:rPr>
                <w:rFonts w:ascii="Calibri" w:hAnsi="Calibri" w:eastAsia="STHeiti"/>
                <w:b w:val="0"/>
                <w:color w:val="172B4D"/>
                <w:sz w:val="16"/>
              </w:rPr>
              <w:t>GMV</w:t>
            </w:r>
          </w:p>
        </w:tc>
        <w:tc>
          <w:tcPr>
            <w:tcW w:w="2340" w:type="dxa"/>
            <w:tcMar>
              <w:top w:w="80" w:type="dxa"/>
              <w:left w:w="120" w:type="dxa"/>
              <w:bottom w:w="80" w:type="dxa"/>
              <w:right w:w="120" w:type="dxa"/>
            </w:tcMar>
            <w:vAlign w:val="center"/>
          </w:tcPr>
          <w:p w14:paraId="4545D2CD">
            <w:pPr>
              <w:spacing w:before="0" w:after="0" w:line="259" w:lineRule="auto"/>
              <w:jc w:val="left"/>
            </w:pPr>
            <w:r>
              <w:rPr>
                <w:rFonts w:ascii="Calibri" w:hAnsi="Calibri" w:eastAsia="STHeiti"/>
                <w:b w:val="0"/>
                <w:color w:val="172B4D"/>
                <w:sz w:val="16"/>
              </w:rPr>
              <w:t>buy 事件 order_value 求和。</w:t>
            </w:r>
          </w:p>
        </w:tc>
        <w:tc>
          <w:tcPr>
            <w:tcW w:w="2340" w:type="dxa"/>
            <w:tcMar>
              <w:top w:w="80" w:type="dxa"/>
              <w:left w:w="120" w:type="dxa"/>
              <w:bottom w:w="80" w:type="dxa"/>
              <w:right w:w="120" w:type="dxa"/>
            </w:tcMar>
            <w:vAlign w:val="center"/>
          </w:tcPr>
          <w:p w14:paraId="34D28A56">
            <w:pPr>
              <w:spacing w:before="0" w:after="0" w:line="259" w:lineRule="auto"/>
              <w:jc w:val="left"/>
            </w:pPr>
            <w:r>
              <w:rPr>
                <w:rFonts w:ascii="Calibri" w:hAnsi="Calibri" w:eastAsia="STHeiti"/>
                <w:b w:val="0"/>
                <w:color w:val="172B4D"/>
                <w:sz w:val="16"/>
              </w:rPr>
              <w:t>衡量交易规模。</w:t>
            </w:r>
          </w:p>
        </w:tc>
        <w:tc>
          <w:tcPr>
            <w:tcW w:w="2340" w:type="dxa"/>
            <w:tcMar>
              <w:top w:w="80" w:type="dxa"/>
              <w:left w:w="120" w:type="dxa"/>
              <w:bottom w:w="80" w:type="dxa"/>
              <w:right w:w="120" w:type="dxa"/>
            </w:tcMar>
            <w:vAlign w:val="center"/>
          </w:tcPr>
          <w:p w14:paraId="17785248">
            <w:pPr>
              <w:spacing w:before="0" w:after="0" w:line="259" w:lineRule="auto"/>
              <w:jc w:val="left"/>
            </w:pPr>
            <w:r>
              <w:rPr>
                <w:rFonts w:ascii="Calibri" w:hAnsi="Calibri" w:eastAsia="STHeiti"/>
                <w:b w:val="0"/>
                <w:color w:val="172B4D"/>
                <w:sz w:val="16"/>
              </w:rPr>
              <w:t>未考虑退款、取消订单和税费。</w:t>
            </w:r>
          </w:p>
        </w:tc>
      </w:tr>
      <w:tr w14:paraId="19FA739F">
        <w:tc>
          <w:tcPr>
            <w:tcW w:w="2340" w:type="dxa"/>
            <w:tcMar>
              <w:top w:w="80" w:type="dxa"/>
              <w:left w:w="120" w:type="dxa"/>
              <w:bottom w:w="80" w:type="dxa"/>
              <w:right w:w="120" w:type="dxa"/>
            </w:tcMar>
            <w:vAlign w:val="center"/>
          </w:tcPr>
          <w:p w14:paraId="64217A73">
            <w:pPr>
              <w:spacing w:before="0" w:after="0" w:line="259" w:lineRule="auto"/>
              <w:jc w:val="center"/>
            </w:pPr>
            <w:r>
              <w:rPr>
                <w:rFonts w:ascii="Calibri" w:hAnsi="Calibri" w:eastAsia="STHeiti"/>
                <w:b w:val="0"/>
                <w:color w:val="172B4D"/>
                <w:sz w:val="16"/>
              </w:rPr>
              <w:t>点击人数</w:t>
            </w:r>
          </w:p>
        </w:tc>
        <w:tc>
          <w:tcPr>
            <w:tcW w:w="2340" w:type="dxa"/>
            <w:tcMar>
              <w:top w:w="80" w:type="dxa"/>
              <w:left w:w="120" w:type="dxa"/>
              <w:bottom w:w="80" w:type="dxa"/>
              <w:right w:w="120" w:type="dxa"/>
            </w:tcMar>
            <w:vAlign w:val="center"/>
          </w:tcPr>
          <w:p w14:paraId="09DA7256">
            <w:pPr>
              <w:spacing w:before="0" w:after="0" w:line="259" w:lineRule="auto"/>
              <w:jc w:val="left"/>
            </w:pPr>
            <w:r>
              <w:rPr>
                <w:rFonts w:ascii="Calibri" w:hAnsi="Calibri" w:eastAsia="STHeiti"/>
                <w:b w:val="0"/>
                <w:color w:val="172B4D"/>
                <w:sz w:val="16"/>
              </w:rPr>
              <w:t>发生 click 的去重 user_id 数。</w:t>
            </w:r>
          </w:p>
        </w:tc>
        <w:tc>
          <w:tcPr>
            <w:tcW w:w="2340" w:type="dxa"/>
            <w:tcMar>
              <w:top w:w="80" w:type="dxa"/>
              <w:left w:w="120" w:type="dxa"/>
              <w:bottom w:w="80" w:type="dxa"/>
              <w:right w:w="120" w:type="dxa"/>
            </w:tcMar>
            <w:vAlign w:val="center"/>
          </w:tcPr>
          <w:p w14:paraId="4EB228AB">
            <w:pPr>
              <w:spacing w:before="0" w:after="0" w:line="259" w:lineRule="auto"/>
              <w:jc w:val="left"/>
            </w:pPr>
            <w:r>
              <w:rPr>
                <w:rFonts w:ascii="Calibri" w:hAnsi="Calibri" w:eastAsia="STHeiti"/>
                <w:b w:val="0"/>
                <w:color w:val="172B4D"/>
                <w:sz w:val="16"/>
              </w:rPr>
              <w:t>漏斗起点样本量。</w:t>
            </w:r>
          </w:p>
        </w:tc>
        <w:tc>
          <w:tcPr>
            <w:tcW w:w="2340" w:type="dxa"/>
            <w:tcMar>
              <w:top w:w="80" w:type="dxa"/>
              <w:left w:w="120" w:type="dxa"/>
              <w:bottom w:w="80" w:type="dxa"/>
              <w:right w:w="120" w:type="dxa"/>
            </w:tcMar>
            <w:vAlign w:val="center"/>
          </w:tcPr>
          <w:p w14:paraId="36C8BFCE">
            <w:pPr>
              <w:spacing w:before="0" w:after="0" w:line="259" w:lineRule="auto"/>
              <w:jc w:val="left"/>
            </w:pPr>
            <w:r>
              <w:rPr>
                <w:rFonts w:ascii="Calibri" w:hAnsi="Calibri" w:eastAsia="STHeiti"/>
                <w:b w:val="0"/>
                <w:color w:val="172B4D"/>
                <w:sz w:val="16"/>
              </w:rPr>
              <w:t>同一用户多次点击只计一次。</w:t>
            </w:r>
          </w:p>
        </w:tc>
      </w:tr>
      <w:tr w14:paraId="7229C716">
        <w:tc>
          <w:tcPr>
            <w:tcW w:w="2340" w:type="dxa"/>
            <w:tcMar>
              <w:top w:w="80" w:type="dxa"/>
              <w:left w:w="120" w:type="dxa"/>
              <w:bottom w:w="80" w:type="dxa"/>
              <w:right w:w="120" w:type="dxa"/>
            </w:tcMar>
            <w:vAlign w:val="center"/>
          </w:tcPr>
          <w:p w14:paraId="78D1AF3E">
            <w:pPr>
              <w:spacing w:before="0" w:after="0" w:line="259" w:lineRule="auto"/>
              <w:jc w:val="center"/>
            </w:pPr>
            <w:r>
              <w:rPr>
                <w:rFonts w:ascii="Calibri" w:hAnsi="Calibri" w:eastAsia="STHeiti"/>
                <w:b w:val="0"/>
                <w:color w:val="172B4D"/>
                <w:sz w:val="16"/>
              </w:rPr>
              <w:t>加购人数</w:t>
            </w:r>
          </w:p>
        </w:tc>
        <w:tc>
          <w:tcPr>
            <w:tcW w:w="2340" w:type="dxa"/>
            <w:tcMar>
              <w:top w:w="80" w:type="dxa"/>
              <w:left w:w="120" w:type="dxa"/>
              <w:bottom w:w="80" w:type="dxa"/>
              <w:right w:w="120" w:type="dxa"/>
            </w:tcMar>
            <w:vAlign w:val="center"/>
          </w:tcPr>
          <w:p w14:paraId="0C9599C2">
            <w:pPr>
              <w:spacing w:before="0" w:after="0" w:line="259" w:lineRule="auto"/>
              <w:jc w:val="left"/>
            </w:pPr>
            <w:r>
              <w:rPr>
                <w:rFonts w:ascii="Calibri" w:hAnsi="Calibri" w:eastAsia="STHeiti"/>
                <w:b w:val="0"/>
                <w:color w:val="172B4D"/>
                <w:sz w:val="16"/>
              </w:rPr>
              <w:t>发生 add_to_cart 的去重 user_id 数。</w:t>
            </w:r>
          </w:p>
        </w:tc>
        <w:tc>
          <w:tcPr>
            <w:tcW w:w="2340" w:type="dxa"/>
            <w:tcMar>
              <w:top w:w="80" w:type="dxa"/>
              <w:left w:w="120" w:type="dxa"/>
              <w:bottom w:w="80" w:type="dxa"/>
              <w:right w:w="120" w:type="dxa"/>
            </w:tcMar>
            <w:vAlign w:val="center"/>
          </w:tcPr>
          <w:p w14:paraId="104214AD">
            <w:pPr>
              <w:spacing w:before="0" w:after="0" w:line="259" w:lineRule="auto"/>
              <w:jc w:val="left"/>
            </w:pPr>
            <w:r>
              <w:rPr>
                <w:rFonts w:ascii="Calibri" w:hAnsi="Calibri" w:eastAsia="STHeiti"/>
                <w:b w:val="0"/>
                <w:color w:val="172B4D"/>
                <w:sz w:val="16"/>
              </w:rPr>
              <w:t>衡量商品兴趣和购买意向。</w:t>
            </w:r>
          </w:p>
        </w:tc>
        <w:tc>
          <w:tcPr>
            <w:tcW w:w="2340" w:type="dxa"/>
            <w:tcMar>
              <w:top w:w="80" w:type="dxa"/>
              <w:left w:w="120" w:type="dxa"/>
              <w:bottom w:w="80" w:type="dxa"/>
              <w:right w:w="120" w:type="dxa"/>
            </w:tcMar>
            <w:vAlign w:val="center"/>
          </w:tcPr>
          <w:p w14:paraId="3E1B37A1">
            <w:pPr>
              <w:spacing w:before="0" w:after="0" w:line="259" w:lineRule="auto"/>
              <w:jc w:val="left"/>
            </w:pPr>
            <w:r>
              <w:rPr>
                <w:rFonts w:ascii="Calibri" w:hAnsi="Calibri" w:eastAsia="STHeiti"/>
                <w:b w:val="0"/>
                <w:color w:val="172B4D"/>
                <w:sz w:val="16"/>
              </w:rPr>
              <w:t>需与点击人数同窗口比较。</w:t>
            </w:r>
          </w:p>
        </w:tc>
      </w:tr>
      <w:tr w14:paraId="15A458BA">
        <w:tc>
          <w:tcPr>
            <w:tcW w:w="2340" w:type="dxa"/>
            <w:tcMar>
              <w:top w:w="80" w:type="dxa"/>
              <w:left w:w="120" w:type="dxa"/>
              <w:bottom w:w="80" w:type="dxa"/>
              <w:right w:w="120" w:type="dxa"/>
            </w:tcMar>
            <w:vAlign w:val="center"/>
          </w:tcPr>
          <w:p w14:paraId="66FA0214">
            <w:pPr>
              <w:spacing w:before="0" w:after="0" w:line="259" w:lineRule="auto"/>
              <w:jc w:val="center"/>
            </w:pPr>
            <w:r>
              <w:rPr>
                <w:rFonts w:ascii="Calibri" w:hAnsi="Calibri" w:eastAsia="STHeiti"/>
                <w:b w:val="0"/>
                <w:color w:val="172B4D"/>
                <w:sz w:val="16"/>
              </w:rPr>
              <w:t>购买人数</w:t>
            </w:r>
          </w:p>
        </w:tc>
        <w:tc>
          <w:tcPr>
            <w:tcW w:w="2340" w:type="dxa"/>
            <w:tcMar>
              <w:top w:w="80" w:type="dxa"/>
              <w:left w:w="120" w:type="dxa"/>
              <w:bottom w:w="80" w:type="dxa"/>
              <w:right w:w="120" w:type="dxa"/>
            </w:tcMar>
            <w:vAlign w:val="center"/>
          </w:tcPr>
          <w:p w14:paraId="08DA7507">
            <w:pPr>
              <w:spacing w:before="0" w:after="0" w:line="259" w:lineRule="auto"/>
              <w:jc w:val="left"/>
            </w:pPr>
            <w:r>
              <w:rPr>
                <w:rFonts w:ascii="Calibri" w:hAnsi="Calibri" w:eastAsia="STHeiti"/>
                <w:b w:val="0"/>
                <w:color w:val="172B4D"/>
                <w:sz w:val="16"/>
              </w:rPr>
              <w:t>发生 buy 的去重 user_id 数。</w:t>
            </w:r>
          </w:p>
        </w:tc>
        <w:tc>
          <w:tcPr>
            <w:tcW w:w="2340" w:type="dxa"/>
            <w:tcMar>
              <w:top w:w="80" w:type="dxa"/>
              <w:left w:w="120" w:type="dxa"/>
              <w:bottom w:w="80" w:type="dxa"/>
              <w:right w:w="120" w:type="dxa"/>
            </w:tcMar>
            <w:vAlign w:val="center"/>
          </w:tcPr>
          <w:p w14:paraId="1313B188">
            <w:pPr>
              <w:spacing w:before="0" w:after="0" w:line="259" w:lineRule="auto"/>
              <w:jc w:val="left"/>
            </w:pPr>
            <w:r>
              <w:rPr>
                <w:rFonts w:ascii="Calibri" w:hAnsi="Calibri" w:eastAsia="STHeiti"/>
                <w:b w:val="0"/>
                <w:color w:val="172B4D"/>
                <w:sz w:val="16"/>
              </w:rPr>
              <w:t>衡量最终转化用户规模。</w:t>
            </w:r>
          </w:p>
        </w:tc>
        <w:tc>
          <w:tcPr>
            <w:tcW w:w="2340" w:type="dxa"/>
            <w:tcMar>
              <w:top w:w="80" w:type="dxa"/>
              <w:left w:w="120" w:type="dxa"/>
              <w:bottom w:w="80" w:type="dxa"/>
              <w:right w:w="120" w:type="dxa"/>
            </w:tcMar>
            <w:vAlign w:val="center"/>
          </w:tcPr>
          <w:p w14:paraId="0AA4CA9F">
            <w:pPr>
              <w:spacing w:before="0" w:after="0" w:line="259" w:lineRule="auto"/>
              <w:jc w:val="left"/>
            </w:pPr>
            <w:r>
              <w:rPr>
                <w:rFonts w:ascii="Calibri" w:hAnsi="Calibri" w:eastAsia="STHeiti"/>
                <w:b w:val="0"/>
                <w:color w:val="172B4D"/>
                <w:sz w:val="16"/>
              </w:rPr>
              <w:t>一个用户多次购买在人数上只计一次。</w:t>
            </w:r>
          </w:p>
        </w:tc>
      </w:tr>
      <w:tr w14:paraId="70E3056F">
        <w:tc>
          <w:tcPr>
            <w:tcW w:w="2340" w:type="dxa"/>
            <w:tcMar>
              <w:top w:w="80" w:type="dxa"/>
              <w:left w:w="120" w:type="dxa"/>
              <w:bottom w:w="80" w:type="dxa"/>
              <w:right w:w="120" w:type="dxa"/>
            </w:tcMar>
            <w:vAlign w:val="center"/>
          </w:tcPr>
          <w:p w14:paraId="37ED3B5D">
            <w:pPr>
              <w:spacing w:before="0" w:after="0" w:line="259" w:lineRule="auto"/>
              <w:jc w:val="center"/>
            </w:pPr>
            <w:r>
              <w:rPr>
                <w:rFonts w:ascii="Calibri" w:hAnsi="Calibri" w:eastAsia="STHeiti"/>
                <w:b w:val="0"/>
                <w:color w:val="172B4D"/>
                <w:sz w:val="16"/>
              </w:rPr>
              <w:t>加购率</w:t>
            </w:r>
          </w:p>
        </w:tc>
        <w:tc>
          <w:tcPr>
            <w:tcW w:w="2340" w:type="dxa"/>
            <w:tcMar>
              <w:top w:w="80" w:type="dxa"/>
              <w:left w:w="120" w:type="dxa"/>
              <w:bottom w:w="80" w:type="dxa"/>
              <w:right w:w="120" w:type="dxa"/>
            </w:tcMar>
            <w:vAlign w:val="center"/>
          </w:tcPr>
          <w:p w14:paraId="155B2661">
            <w:pPr>
              <w:spacing w:before="0" w:after="0" w:line="259" w:lineRule="auto"/>
              <w:jc w:val="left"/>
            </w:pPr>
            <w:r>
              <w:rPr>
                <w:rFonts w:ascii="Calibri" w:hAnsi="Calibri" w:eastAsia="STHeiti"/>
                <w:b w:val="0"/>
                <w:color w:val="172B4D"/>
                <w:sz w:val="16"/>
              </w:rPr>
              <w:t>加购人数 / 点击人数。</w:t>
            </w:r>
          </w:p>
        </w:tc>
        <w:tc>
          <w:tcPr>
            <w:tcW w:w="2340" w:type="dxa"/>
            <w:tcMar>
              <w:top w:w="80" w:type="dxa"/>
              <w:left w:w="120" w:type="dxa"/>
              <w:bottom w:w="80" w:type="dxa"/>
              <w:right w:w="120" w:type="dxa"/>
            </w:tcMar>
            <w:vAlign w:val="center"/>
          </w:tcPr>
          <w:p w14:paraId="5D9E9F2B">
            <w:pPr>
              <w:spacing w:before="0" w:after="0" w:line="259" w:lineRule="auto"/>
              <w:jc w:val="left"/>
            </w:pPr>
            <w:r>
              <w:rPr>
                <w:rFonts w:ascii="Calibri" w:hAnsi="Calibri" w:eastAsia="STHeiti"/>
                <w:b w:val="0"/>
                <w:color w:val="172B4D"/>
                <w:sz w:val="16"/>
              </w:rPr>
              <w:t>衡量从浏览到意向的转化。</w:t>
            </w:r>
          </w:p>
        </w:tc>
        <w:tc>
          <w:tcPr>
            <w:tcW w:w="2340" w:type="dxa"/>
            <w:tcMar>
              <w:top w:w="80" w:type="dxa"/>
              <w:left w:w="120" w:type="dxa"/>
              <w:bottom w:w="80" w:type="dxa"/>
              <w:right w:w="120" w:type="dxa"/>
            </w:tcMar>
            <w:vAlign w:val="center"/>
          </w:tcPr>
          <w:p w14:paraId="2B0F3BB0">
            <w:pPr>
              <w:spacing w:before="0" w:after="0" w:line="259" w:lineRule="auto"/>
              <w:jc w:val="left"/>
            </w:pPr>
            <w:r>
              <w:rPr>
                <w:rFonts w:ascii="Calibri" w:hAnsi="Calibri" w:eastAsia="STHeiti"/>
                <w:b w:val="0"/>
                <w:color w:val="172B4D"/>
                <w:sz w:val="16"/>
              </w:rPr>
              <w:t>点击人数为 0 时不展示。</w:t>
            </w:r>
          </w:p>
        </w:tc>
      </w:tr>
      <w:tr w14:paraId="4399CC06">
        <w:tc>
          <w:tcPr>
            <w:tcW w:w="2340" w:type="dxa"/>
            <w:tcMar>
              <w:top w:w="80" w:type="dxa"/>
              <w:left w:w="120" w:type="dxa"/>
              <w:bottom w:w="80" w:type="dxa"/>
              <w:right w:w="120" w:type="dxa"/>
            </w:tcMar>
            <w:vAlign w:val="center"/>
          </w:tcPr>
          <w:p w14:paraId="407AC149">
            <w:pPr>
              <w:spacing w:before="0" w:after="0" w:line="259" w:lineRule="auto"/>
              <w:jc w:val="center"/>
            </w:pPr>
            <w:r>
              <w:rPr>
                <w:rFonts w:ascii="Calibri" w:hAnsi="Calibri" w:eastAsia="STHeiti"/>
                <w:b w:val="0"/>
                <w:color w:val="172B4D"/>
                <w:sz w:val="16"/>
              </w:rPr>
              <w:t>购买转化率</w:t>
            </w:r>
          </w:p>
        </w:tc>
        <w:tc>
          <w:tcPr>
            <w:tcW w:w="2340" w:type="dxa"/>
            <w:tcMar>
              <w:top w:w="80" w:type="dxa"/>
              <w:left w:w="120" w:type="dxa"/>
              <w:bottom w:w="80" w:type="dxa"/>
              <w:right w:w="120" w:type="dxa"/>
            </w:tcMar>
            <w:vAlign w:val="center"/>
          </w:tcPr>
          <w:p w14:paraId="453EBAB3">
            <w:pPr>
              <w:spacing w:before="0" w:after="0" w:line="259" w:lineRule="auto"/>
              <w:jc w:val="left"/>
            </w:pPr>
            <w:r>
              <w:rPr>
                <w:rFonts w:ascii="Calibri" w:hAnsi="Calibri" w:eastAsia="STHeiti"/>
                <w:b w:val="0"/>
                <w:color w:val="172B4D"/>
                <w:sz w:val="16"/>
              </w:rPr>
              <w:t>购买人数 / 点击人数。</w:t>
            </w:r>
          </w:p>
        </w:tc>
        <w:tc>
          <w:tcPr>
            <w:tcW w:w="2340" w:type="dxa"/>
            <w:tcMar>
              <w:top w:w="80" w:type="dxa"/>
              <w:left w:w="120" w:type="dxa"/>
              <w:bottom w:w="80" w:type="dxa"/>
              <w:right w:w="120" w:type="dxa"/>
            </w:tcMar>
            <w:vAlign w:val="center"/>
          </w:tcPr>
          <w:p w14:paraId="3BF5B525">
            <w:pPr>
              <w:spacing w:before="0" w:after="0" w:line="259" w:lineRule="auto"/>
              <w:jc w:val="left"/>
            </w:pPr>
            <w:r>
              <w:rPr>
                <w:rFonts w:ascii="Calibri" w:hAnsi="Calibri" w:eastAsia="STHeiti"/>
                <w:b w:val="0"/>
                <w:color w:val="172B4D"/>
                <w:sz w:val="16"/>
              </w:rPr>
              <w:t>A/B 实验的主指标。</w:t>
            </w:r>
          </w:p>
        </w:tc>
        <w:tc>
          <w:tcPr>
            <w:tcW w:w="2340" w:type="dxa"/>
            <w:tcMar>
              <w:top w:w="80" w:type="dxa"/>
              <w:left w:w="120" w:type="dxa"/>
              <w:bottom w:w="80" w:type="dxa"/>
              <w:right w:w="120" w:type="dxa"/>
            </w:tcMar>
            <w:vAlign w:val="center"/>
          </w:tcPr>
          <w:p w14:paraId="594228F9">
            <w:pPr>
              <w:spacing w:before="0" w:after="0" w:line="259" w:lineRule="auto"/>
              <w:jc w:val="left"/>
            </w:pPr>
            <w:r>
              <w:rPr>
                <w:rFonts w:ascii="Calibri" w:hAnsi="Calibri" w:eastAsia="STHeiti"/>
                <w:b w:val="0"/>
                <w:color w:val="172B4D"/>
                <w:sz w:val="16"/>
              </w:rPr>
              <w:t>样本不足时不输出确定结论。</w:t>
            </w:r>
          </w:p>
        </w:tc>
      </w:tr>
      <w:tr w14:paraId="1D823605">
        <w:tc>
          <w:tcPr>
            <w:tcW w:w="2340" w:type="dxa"/>
            <w:tcMar>
              <w:top w:w="80" w:type="dxa"/>
              <w:left w:w="120" w:type="dxa"/>
              <w:bottom w:w="80" w:type="dxa"/>
              <w:right w:w="120" w:type="dxa"/>
            </w:tcMar>
            <w:vAlign w:val="center"/>
          </w:tcPr>
          <w:p w14:paraId="7CADD051">
            <w:pPr>
              <w:spacing w:before="0" w:after="0" w:line="259" w:lineRule="auto"/>
              <w:jc w:val="center"/>
            </w:pPr>
            <w:r>
              <w:rPr>
                <w:rFonts w:ascii="Calibri" w:hAnsi="Calibri" w:eastAsia="STHeiti"/>
                <w:b w:val="0"/>
                <w:color w:val="172B4D"/>
                <w:sz w:val="16"/>
              </w:rPr>
              <w:t>AOV</w:t>
            </w:r>
          </w:p>
        </w:tc>
        <w:tc>
          <w:tcPr>
            <w:tcW w:w="2340" w:type="dxa"/>
            <w:tcMar>
              <w:top w:w="80" w:type="dxa"/>
              <w:left w:w="120" w:type="dxa"/>
              <w:bottom w:w="80" w:type="dxa"/>
              <w:right w:w="120" w:type="dxa"/>
            </w:tcMar>
            <w:vAlign w:val="center"/>
          </w:tcPr>
          <w:p w14:paraId="5F3571F3">
            <w:pPr>
              <w:spacing w:before="0" w:after="0" w:line="259" w:lineRule="auto"/>
              <w:jc w:val="left"/>
            </w:pPr>
            <w:r>
              <w:rPr>
                <w:rFonts w:ascii="Calibri" w:hAnsi="Calibri" w:eastAsia="STHeiti"/>
                <w:b w:val="0"/>
                <w:color w:val="172B4D"/>
                <w:sz w:val="16"/>
              </w:rPr>
              <w:t>GMV / 订单数。</w:t>
            </w:r>
          </w:p>
        </w:tc>
        <w:tc>
          <w:tcPr>
            <w:tcW w:w="2340" w:type="dxa"/>
            <w:tcMar>
              <w:top w:w="80" w:type="dxa"/>
              <w:left w:w="120" w:type="dxa"/>
              <w:bottom w:w="80" w:type="dxa"/>
              <w:right w:w="120" w:type="dxa"/>
            </w:tcMar>
            <w:vAlign w:val="center"/>
          </w:tcPr>
          <w:p w14:paraId="5BE65858">
            <w:pPr>
              <w:spacing w:before="0" w:after="0" w:line="259" w:lineRule="auto"/>
              <w:jc w:val="left"/>
            </w:pPr>
            <w:r>
              <w:rPr>
                <w:rFonts w:ascii="Calibri" w:hAnsi="Calibri" w:eastAsia="STHeiti"/>
                <w:b w:val="0"/>
                <w:color w:val="172B4D"/>
                <w:sz w:val="16"/>
              </w:rPr>
              <w:t>衡量平均订单金额。</w:t>
            </w:r>
          </w:p>
        </w:tc>
        <w:tc>
          <w:tcPr>
            <w:tcW w:w="2340" w:type="dxa"/>
            <w:tcMar>
              <w:top w:w="80" w:type="dxa"/>
              <w:left w:w="120" w:type="dxa"/>
              <w:bottom w:w="80" w:type="dxa"/>
              <w:right w:w="120" w:type="dxa"/>
            </w:tcMar>
            <w:vAlign w:val="center"/>
          </w:tcPr>
          <w:p w14:paraId="66BD78E0">
            <w:pPr>
              <w:spacing w:before="0" w:after="0" w:line="259" w:lineRule="auto"/>
              <w:jc w:val="left"/>
            </w:pPr>
            <w:r>
              <w:rPr>
                <w:rFonts w:ascii="Calibri" w:hAnsi="Calibri" w:eastAsia="STHeiti"/>
                <w:b w:val="0"/>
                <w:color w:val="172B4D"/>
                <w:sz w:val="16"/>
              </w:rPr>
              <w:t>订单数为 0 时不展示。</w:t>
            </w:r>
          </w:p>
        </w:tc>
      </w:tr>
      <w:tr w14:paraId="52785C89">
        <w:tc>
          <w:tcPr>
            <w:tcW w:w="2340" w:type="dxa"/>
            <w:tcMar>
              <w:top w:w="80" w:type="dxa"/>
              <w:left w:w="120" w:type="dxa"/>
              <w:bottom w:w="80" w:type="dxa"/>
              <w:right w:w="120" w:type="dxa"/>
            </w:tcMar>
            <w:vAlign w:val="center"/>
          </w:tcPr>
          <w:p w14:paraId="64AC4265">
            <w:pPr>
              <w:spacing w:before="0" w:after="0" w:line="259" w:lineRule="auto"/>
              <w:jc w:val="center"/>
            </w:pPr>
            <w:r>
              <w:rPr>
                <w:rFonts w:ascii="Calibri" w:hAnsi="Calibri" w:eastAsia="STHeiti"/>
                <w:b w:val="0"/>
                <w:color w:val="172B4D"/>
                <w:sz w:val="16"/>
              </w:rPr>
              <w:t>uplift</w:t>
            </w:r>
          </w:p>
        </w:tc>
        <w:tc>
          <w:tcPr>
            <w:tcW w:w="2340" w:type="dxa"/>
            <w:tcMar>
              <w:top w:w="80" w:type="dxa"/>
              <w:left w:w="120" w:type="dxa"/>
              <w:bottom w:w="80" w:type="dxa"/>
              <w:right w:w="120" w:type="dxa"/>
            </w:tcMar>
            <w:vAlign w:val="center"/>
          </w:tcPr>
          <w:p w14:paraId="4BBAB5BB">
            <w:pPr>
              <w:spacing w:before="0" w:after="0" w:line="259" w:lineRule="auto"/>
              <w:jc w:val="left"/>
            </w:pPr>
            <w:r>
              <w:rPr>
                <w:rFonts w:ascii="Calibri" w:hAnsi="Calibri" w:eastAsia="STHeiti"/>
                <w:b w:val="0"/>
                <w:color w:val="172B4D"/>
                <w:sz w:val="16"/>
              </w:rPr>
              <w:t>(B 组指标 - A 组指标) / A 组指标。</w:t>
            </w:r>
          </w:p>
        </w:tc>
        <w:tc>
          <w:tcPr>
            <w:tcW w:w="2340" w:type="dxa"/>
            <w:tcMar>
              <w:top w:w="80" w:type="dxa"/>
              <w:left w:w="120" w:type="dxa"/>
              <w:bottom w:w="80" w:type="dxa"/>
              <w:right w:w="120" w:type="dxa"/>
            </w:tcMar>
            <w:vAlign w:val="center"/>
          </w:tcPr>
          <w:p w14:paraId="00C808C6">
            <w:pPr>
              <w:spacing w:before="0" w:after="0" w:line="259" w:lineRule="auto"/>
              <w:jc w:val="left"/>
            </w:pPr>
            <w:r>
              <w:rPr>
                <w:rFonts w:ascii="Calibri" w:hAnsi="Calibri" w:eastAsia="STHeiti"/>
                <w:b w:val="0"/>
                <w:color w:val="172B4D"/>
                <w:sz w:val="16"/>
              </w:rPr>
              <w:t>衡量实验组相对提升。</w:t>
            </w:r>
          </w:p>
        </w:tc>
        <w:tc>
          <w:tcPr>
            <w:tcW w:w="2340" w:type="dxa"/>
            <w:tcMar>
              <w:top w:w="80" w:type="dxa"/>
              <w:left w:w="120" w:type="dxa"/>
              <w:bottom w:w="80" w:type="dxa"/>
              <w:right w:w="120" w:type="dxa"/>
            </w:tcMar>
            <w:vAlign w:val="center"/>
          </w:tcPr>
          <w:p w14:paraId="70852A9D">
            <w:pPr>
              <w:spacing w:before="0" w:after="0" w:line="259" w:lineRule="auto"/>
              <w:jc w:val="left"/>
            </w:pPr>
            <w:r>
              <w:rPr>
                <w:rFonts w:ascii="Calibri" w:hAnsi="Calibri" w:eastAsia="STHeiti"/>
                <w:b w:val="0"/>
                <w:color w:val="172B4D"/>
                <w:sz w:val="16"/>
              </w:rPr>
              <w:t>A 组指标为 0 时不计算。</w:t>
            </w:r>
          </w:p>
        </w:tc>
      </w:tr>
      <w:tr w14:paraId="56ED903E">
        <w:tc>
          <w:tcPr>
            <w:tcW w:w="2340" w:type="dxa"/>
            <w:tcMar>
              <w:top w:w="80" w:type="dxa"/>
              <w:left w:w="120" w:type="dxa"/>
              <w:bottom w:w="80" w:type="dxa"/>
              <w:right w:w="120" w:type="dxa"/>
            </w:tcMar>
            <w:vAlign w:val="center"/>
          </w:tcPr>
          <w:p w14:paraId="1B8F5B56">
            <w:pPr>
              <w:spacing w:before="0" w:after="0" w:line="259" w:lineRule="auto"/>
              <w:jc w:val="center"/>
            </w:pPr>
            <w:r>
              <w:rPr>
                <w:rFonts w:ascii="Calibri" w:hAnsi="Calibri" w:eastAsia="STHeiti"/>
                <w:b w:val="0"/>
                <w:color w:val="172B4D"/>
                <w:sz w:val="16"/>
              </w:rPr>
              <w:t>p-value</w:t>
            </w:r>
          </w:p>
        </w:tc>
        <w:tc>
          <w:tcPr>
            <w:tcW w:w="2340" w:type="dxa"/>
            <w:tcMar>
              <w:top w:w="80" w:type="dxa"/>
              <w:left w:w="120" w:type="dxa"/>
              <w:bottom w:w="80" w:type="dxa"/>
              <w:right w:w="120" w:type="dxa"/>
            </w:tcMar>
            <w:vAlign w:val="center"/>
          </w:tcPr>
          <w:p w14:paraId="56ED648D">
            <w:pPr>
              <w:spacing w:before="0" w:after="0" w:line="259" w:lineRule="auto"/>
              <w:jc w:val="left"/>
            </w:pPr>
            <w:r>
              <w:rPr>
                <w:rFonts w:ascii="Calibri" w:hAnsi="Calibri" w:eastAsia="STHeiti"/>
                <w:b w:val="0"/>
                <w:color w:val="172B4D"/>
                <w:sz w:val="16"/>
              </w:rPr>
              <w:t>two-proportion z-test 检验 A/B 购买转化率差异。</w:t>
            </w:r>
          </w:p>
        </w:tc>
        <w:tc>
          <w:tcPr>
            <w:tcW w:w="2340" w:type="dxa"/>
            <w:tcMar>
              <w:top w:w="80" w:type="dxa"/>
              <w:left w:w="120" w:type="dxa"/>
              <w:bottom w:w="80" w:type="dxa"/>
              <w:right w:w="120" w:type="dxa"/>
            </w:tcMar>
            <w:vAlign w:val="center"/>
          </w:tcPr>
          <w:p w14:paraId="450A2A4C">
            <w:pPr>
              <w:spacing w:before="0" w:after="0" w:line="259" w:lineRule="auto"/>
              <w:jc w:val="left"/>
            </w:pPr>
            <w:r>
              <w:rPr>
                <w:rFonts w:ascii="Calibri" w:hAnsi="Calibri" w:eastAsia="STHeiti"/>
                <w:b w:val="0"/>
                <w:color w:val="172B4D"/>
                <w:sz w:val="16"/>
              </w:rPr>
              <w:t>判断差异是否可能由随机波动造成。</w:t>
            </w:r>
          </w:p>
        </w:tc>
        <w:tc>
          <w:tcPr>
            <w:tcW w:w="2340" w:type="dxa"/>
            <w:tcMar>
              <w:top w:w="80" w:type="dxa"/>
              <w:left w:w="120" w:type="dxa"/>
              <w:bottom w:w="80" w:type="dxa"/>
              <w:right w:w="120" w:type="dxa"/>
            </w:tcMar>
            <w:vAlign w:val="center"/>
          </w:tcPr>
          <w:p w14:paraId="5F073818">
            <w:pPr>
              <w:spacing w:before="0" w:after="0" w:line="259" w:lineRule="auto"/>
              <w:jc w:val="left"/>
            </w:pPr>
            <w:r>
              <w:rPr>
                <w:rFonts w:ascii="Calibri" w:hAnsi="Calibri" w:eastAsia="STHeiti"/>
                <w:b w:val="0"/>
                <w:color w:val="172B4D"/>
                <w:sz w:val="16"/>
              </w:rPr>
              <w:t>不等同于业务收益大小，需结合样本量和 uplift。</w:t>
            </w:r>
          </w:p>
        </w:tc>
      </w:tr>
    </w:tbl>
    <w:p w14:paraId="53BAA98A"/>
    <w:p w14:paraId="7388BFDB">
      <w:pPr>
        <w:pStyle w:val="3"/>
        <w:spacing w:before="320" w:after="120" w:line="264" w:lineRule="auto"/>
      </w:pPr>
      <w:r>
        <w:rPr>
          <w:rFonts w:ascii="Calibri" w:hAnsi="Calibri" w:eastAsia="STHeiti"/>
          <w:b/>
          <w:color w:val="2E74B5"/>
          <w:sz w:val="32"/>
        </w:rPr>
        <w:t>6. 功能需求</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2B490709">
        <w:tc>
          <w:tcPr>
            <w:tcW w:w="1728" w:type="dxa"/>
            <w:shd w:val="clear" w:color="auto" w:fill="F2F4F7"/>
            <w:tcMar>
              <w:top w:w="80" w:type="dxa"/>
              <w:left w:w="120" w:type="dxa"/>
              <w:bottom w:w="80" w:type="dxa"/>
              <w:right w:w="120" w:type="dxa"/>
            </w:tcMar>
            <w:vAlign w:val="center"/>
          </w:tcPr>
          <w:p w14:paraId="4959866C">
            <w:pPr>
              <w:spacing w:before="0" w:after="0" w:line="259" w:lineRule="auto"/>
              <w:jc w:val="center"/>
            </w:pPr>
            <w:r>
              <w:rPr>
                <w:rFonts w:ascii="Calibri" w:hAnsi="Calibri" w:eastAsia="STHeiti"/>
                <w:b/>
                <w:color w:val="172B4D"/>
                <w:sz w:val="18"/>
              </w:rPr>
              <w:t>模块</w:t>
            </w:r>
          </w:p>
        </w:tc>
        <w:tc>
          <w:tcPr>
            <w:tcW w:w="936" w:type="dxa"/>
            <w:shd w:val="clear" w:color="auto" w:fill="F2F4F7"/>
            <w:tcMar>
              <w:top w:w="80" w:type="dxa"/>
              <w:left w:w="120" w:type="dxa"/>
              <w:bottom w:w="80" w:type="dxa"/>
              <w:right w:w="120" w:type="dxa"/>
            </w:tcMar>
            <w:vAlign w:val="center"/>
          </w:tcPr>
          <w:p w14:paraId="78782920">
            <w:pPr>
              <w:spacing w:before="0" w:after="0" w:line="259" w:lineRule="auto"/>
              <w:jc w:val="center"/>
            </w:pPr>
            <w:r>
              <w:rPr>
                <w:rFonts w:ascii="Calibri" w:hAnsi="Calibri" w:eastAsia="STHeiti"/>
                <w:b/>
                <w:color w:val="172B4D"/>
                <w:sz w:val="18"/>
              </w:rPr>
              <w:t>优先级</w:t>
            </w:r>
          </w:p>
        </w:tc>
        <w:tc>
          <w:tcPr>
            <w:tcW w:w="4320" w:type="dxa"/>
            <w:shd w:val="clear" w:color="auto" w:fill="F2F4F7"/>
            <w:tcMar>
              <w:top w:w="80" w:type="dxa"/>
              <w:left w:w="120" w:type="dxa"/>
              <w:bottom w:w="80" w:type="dxa"/>
              <w:right w:w="120" w:type="dxa"/>
            </w:tcMar>
            <w:vAlign w:val="center"/>
          </w:tcPr>
          <w:p w14:paraId="2519C13B">
            <w:pPr>
              <w:spacing w:before="0" w:after="0" w:line="259" w:lineRule="auto"/>
              <w:jc w:val="center"/>
            </w:pPr>
            <w:r>
              <w:rPr>
                <w:rFonts w:ascii="Calibri" w:hAnsi="Calibri" w:eastAsia="STHeiti"/>
                <w:b/>
                <w:color w:val="172B4D"/>
                <w:sz w:val="18"/>
              </w:rPr>
              <w:t>功能描述</w:t>
            </w:r>
          </w:p>
        </w:tc>
        <w:tc>
          <w:tcPr>
            <w:tcW w:w="2376" w:type="dxa"/>
            <w:shd w:val="clear" w:color="auto" w:fill="F2F4F7"/>
            <w:tcMar>
              <w:top w:w="80" w:type="dxa"/>
              <w:left w:w="120" w:type="dxa"/>
              <w:bottom w:w="80" w:type="dxa"/>
              <w:right w:w="120" w:type="dxa"/>
            </w:tcMar>
            <w:vAlign w:val="center"/>
          </w:tcPr>
          <w:p w14:paraId="602C320B">
            <w:pPr>
              <w:spacing w:before="0" w:after="0" w:line="259" w:lineRule="auto"/>
              <w:jc w:val="center"/>
            </w:pPr>
            <w:r>
              <w:rPr>
                <w:rFonts w:ascii="Calibri" w:hAnsi="Calibri" w:eastAsia="STHeiti"/>
                <w:b/>
                <w:color w:val="172B4D"/>
                <w:sz w:val="18"/>
              </w:rPr>
              <w:t>关键产出</w:t>
            </w:r>
          </w:p>
        </w:tc>
      </w:tr>
      <w:tr w14:paraId="537D8C54">
        <w:tc>
          <w:tcPr>
            <w:tcW w:w="2340" w:type="dxa"/>
            <w:tcMar>
              <w:top w:w="80" w:type="dxa"/>
              <w:left w:w="120" w:type="dxa"/>
              <w:bottom w:w="80" w:type="dxa"/>
              <w:right w:w="120" w:type="dxa"/>
            </w:tcMar>
            <w:vAlign w:val="center"/>
          </w:tcPr>
          <w:p w14:paraId="7AD9E6A8">
            <w:pPr>
              <w:spacing w:before="0" w:after="0" w:line="259" w:lineRule="auto"/>
              <w:jc w:val="center"/>
            </w:pPr>
            <w:r>
              <w:rPr>
                <w:rFonts w:ascii="Calibri" w:hAnsi="Calibri" w:eastAsia="STHeiti"/>
                <w:b w:val="0"/>
                <w:color w:val="172B4D"/>
                <w:sz w:val="16"/>
              </w:rPr>
              <w:t>实时概览大屏</w:t>
            </w:r>
          </w:p>
        </w:tc>
        <w:tc>
          <w:tcPr>
            <w:tcW w:w="2340" w:type="dxa"/>
            <w:tcMar>
              <w:top w:w="80" w:type="dxa"/>
              <w:left w:w="120" w:type="dxa"/>
              <w:bottom w:w="80" w:type="dxa"/>
              <w:right w:w="120" w:type="dxa"/>
            </w:tcMar>
            <w:vAlign w:val="center"/>
          </w:tcPr>
          <w:p w14:paraId="58FC3D87">
            <w:pPr>
              <w:spacing w:before="0" w:after="0" w:line="259" w:lineRule="auto"/>
              <w:jc w:val="center"/>
            </w:pPr>
            <w:r>
              <w:rPr>
                <w:rFonts w:ascii="Calibri" w:hAnsi="Calibri" w:eastAsia="STHeiti"/>
                <w:b w:val="0"/>
                <w:color w:val="172B4D"/>
                <w:sz w:val="16"/>
              </w:rPr>
              <w:t>P0</w:t>
            </w:r>
          </w:p>
        </w:tc>
        <w:tc>
          <w:tcPr>
            <w:tcW w:w="2340" w:type="dxa"/>
            <w:tcMar>
              <w:top w:w="80" w:type="dxa"/>
              <w:left w:w="120" w:type="dxa"/>
              <w:bottom w:w="80" w:type="dxa"/>
              <w:right w:w="120" w:type="dxa"/>
            </w:tcMar>
            <w:vAlign w:val="center"/>
          </w:tcPr>
          <w:p w14:paraId="59B629DD">
            <w:pPr>
              <w:spacing w:before="0" w:after="0" w:line="259" w:lineRule="auto"/>
            </w:pPr>
            <w:r>
              <w:rPr>
                <w:rFonts w:ascii="Calibri" w:hAnsi="Calibri" w:eastAsia="STHeiti"/>
                <w:b w:val="0"/>
                <w:color w:val="172B4D"/>
                <w:sz w:val="16"/>
              </w:rPr>
              <w:t>展示最近 24 小时或自定义时间范围内的 DAU、GMV、购买转化率、AOV 和趋势图。</w:t>
            </w:r>
          </w:p>
        </w:tc>
        <w:tc>
          <w:tcPr>
            <w:tcW w:w="2340" w:type="dxa"/>
            <w:tcMar>
              <w:top w:w="80" w:type="dxa"/>
              <w:left w:w="120" w:type="dxa"/>
              <w:bottom w:w="80" w:type="dxa"/>
              <w:right w:w="120" w:type="dxa"/>
            </w:tcMar>
            <w:vAlign w:val="center"/>
          </w:tcPr>
          <w:p w14:paraId="0688C406">
            <w:pPr>
              <w:spacing w:before="0" w:after="0" w:line="259" w:lineRule="auto"/>
            </w:pPr>
            <w:r>
              <w:rPr>
                <w:rFonts w:ascii="Calibri" w:hAnsi="Calibri" w:eastAsia="STHeiti"/>
                <w:b w:val="0"/>
                <w:color w:val="172B4D"/>
                <w:sz w:val="16"/>
              </w:rPr>
              <w:t>经营概览、趋势判断、预警状态。</w:t>
            </w:r>
          </w:p>
        </w:tc>
      </w:tr>
      <w:tr w14:paraId="7E00D969">
        <w:tc>
          <w:tcPr>
            <w:tcW w:w="2340" w:type="dxa"/>
            <w:tcMar>
              <w:top w:w="80" w:type="dxa"/>
              <w:left w:w="120" w:type="dxa"/>
              <w:bottom w:w="80" w:type="dxa"/>
              <w:right w:w="120" w:type="dxa"/>
            </w:tcMar>
            <w:vAlign w:val="center"/>
          </w:tcPr>
          <w:p w14:paraId="669C20C2">
            <w:pPr>
              <w:spacing w:before="0" w:after="0" w:line="259" w:lineRule="auto"/>
              <w:jc w:val="center"/>
            </w:pPr>
            <w:r>
              <w:rPr>
                <w:rFonts w:ascii="Calibri" w:hAnsi="Calibri" w:eastAsia="STHeiti"/>
                <w:b w:val="0"/>
                <w:color w:val="172B4D"/>
                <w:sz w:val="16"/>
              </w:rPr>
              <w:t>漏斗分析模块</w:t>
            </w:r>
          </w:p>
        </w:tc>
        <w:tc>
          <w:tcPr>
            <w:tcW w:w="2340" w:type="dxa"/>
            <w:tcMar>
              <w:top w:w="80" w:type="dxa"/>
              <w:left w:w="120" w:type="dxa"/>
              <w:bottom w:w="80" w:type="dxa"/>
              <w:right w:w="120" w:type="dxa"/>
            </w:tcMar>
            <w:vAlign w:val="center"/>
          </w:tcPr>
          <w:p w14:paraId="07580D0C">
            <w:pPr>
              <w:spacing w:before="0" w:after="0" w:line="259" w:lineRule="auto"/>
              <w:jc w:val="center"/>
            </w:pPr>
            <w:r>
              <w:rPr>
                <w:rFonts w:ascii="Calibri" w:hAnsi="Calibri" w:eastAsia="STHeiti"/>
                <w:b w:val="0"/>
                <w:color w:val="172B4D"/>
                <w:sz w:val="16"/>
              </w:rPr>
              <w:t>P0</w:t>
            </w:r>
          </w:p>
        </w:tc>
        <w:tc>
          <w:tcPr>
            <w:tcW w:w="2340" w:type="dxa"/>
            <w:tcMar>
              <w:top w:w="80" w:type="dxa"/>
              <w:left w:w="120" w:type="dxa"/>
              <w:bottom w:w="80" w:type="dxa"/>
              <w:right w:w="120" w:type="dxa"/>
            </w:tcMar>
            <w:vAlign w:val="center"/>
          </w:tcPr>
          <w:p w14:paraId="1008C8A1">
            <w:pPr>
              <w:spacing w:before="0" w:after="0" w:line="259" w:lineRule="auto"/>
            </w:pPr>
            <w:r>
              <w:rPr>
                <w:rFonts w:ascii="Calibri" w:hAnsi="Calibri" w:eastAsia="STHeiti"/>
                <w:b w:val="0"/>
                <w:color w:val="172B4D"/>
                <w:sz w:val="16"/>
              </w:rPr>
              <w:t>展示 click → add_to_cart → buy 三步漏斗，支持整体和 A/B 组对比。</w:t>
            </w:r>
          </w:p>
        </w:tc>
        <w:tc>
          <w:tcPr>
            <w:tcW w:w="2340" w:type="dxa"/>
            <w:tcMar>
              <w:top w:w="80" w:type="dxa"/>
              <w:left w:w="120" w:type="dxa"/>
              <w:bottom w:w="80" w:type="dxa"/>
              <w:right w:w="120" w:type="dxa"/>
            </w:tcMar>
            <w:vAlign w:val="center"/>
          </w:tcPr>
          <w:p w14:paraId="5F783B1D">
            <w:pPr>
              <w:spacing w:before="0" w:after="0" w:line="259" w:lineRule="auto"/>
            </w:pPr>
            <w:r>
              <w:rPr>
                <w:rFonts w:ascii="Calibri" w:hAnsi="Calibri" w:eastAsia="STHeiti"/>
                <w:b w:val="0"/>
                <w:color w:val="172B4D"/>
                <w:sz w:val="16"/>
              </w:rPr>
              <w:t>各步骤人数、转化率、流失率。</w:t>
            </w:r>
          </w:p>
        </w:tc>
      </w:tr>
      <w:tr w14:paraId="4C226D80">
        <w:tc>
          <w:tcPr>
            <w:tcW w:w="2340" w:type="dxa"/>
            <w:tcMar>
              <w:top w:w="80" w:type="dxa"/>
              <w:left w:w="120" w:type="dxa"/>
              <w:bottom w:w="80" w:type="dxa"/>
              <w:right w:w="120" w:type="dxa"/>
            </w:tcMar>
            <w:vAlign w:val="center"/>
          </w:tcPr>
          <w:p w14:paraId="3C24553E">
            <w:pPr>
              <w:spacing w:before="0" w:after="0" w:line="259" w:lineRule="auto"/>
              <w:jc w:val="center"/>
            </w:pPr>
            <w:r>
              <w:rPr>
                <w:rFonts w:ascii="Calibri" w:hAnsi="Calibri" w:eastAsia="STHeiti"/>
                <w:b w:val="0"/>
                <w:color w:val="172B4D"/>
                <w:sz w:val="16"/>
              </w:rPr>
              <w:t>A/B 实验评估</w:t>
            </w:r>
          </w:p>
        </w:tc>
        <w:tc>
          <w:tcPr>
            <w:tcW w:w="2340" w:type="dxa"/>
            <w:tcMar>
              <w:top w:w="80" w:type="dxa"/>
              <w:left w:w="120" w:type="dxa"/>
              <w:bottom w:w="80" w:type="dxa"/>
              <w:right w:w="120" w:type="dxa"/>
            </w:tcMar>
            <w:vAlign w:val="center"/>
          </w:tcPr>
          <w:p w14:paraId="11FA6353">
            <w:pPr>
              <w:spacing w:before="0" w:after="0" w:line="259" w:lineRule="auto"/>
              <w:jc w:val="center"/>
            </w:pPr>
            <w:r>
              <w:rPr>
                <w:rFonts w:ascii="Calibri" w:hAnsi="Calibri" w:eastAsia="STHeiti"/>
                <w:b w:val="0"/>
                <w:color w:val="172B4D"/>
                <w:sz w:val="16"/>
              </w:rPr>
              <w:t>P0</w:t>
            </w:r>
          </w:p>
        </w:tc>
        <w:tc>
          <w:tcPr>
            <w:tcW w:w="2340" w:type="dxa"/>
            <w:tcMar>
              <w:top w:w="80" w:type="dxa"/>
              <w:left w:w="120" w:type="dxa"/>
              <w:bottom w:w="80" w:type="dxa"/>
              <w:right w:w="120" w:type="dxa"/>
            </w:tcMar>
            <w:vAlign w:val="center"/>
          </w:tcPr>
          <w:p w14:paraId="275D351B">
            <w:pPr>
              <w:spacing w:before="0" w:after="0" w:line="259" w:lineRule="auto"/>
            </w:pPr>
            <w:r>
              <w:rPr>
                <w:rFonts w:ascii="Calibri" w:hAnsi="Calibri" w:eastAsia="STHeiti"/>
                <w:b w:val="0"/>
                <w:color w:val="172B4D"/>
                <w:sz w:val="16"/>
              </w:rPr>
              <w:t>比较 A 组和 B 组的主指标与辅助指标，自动计算 uplift 和 p-value。</w:t>
            </w:r>
          </w:p>
        </w:tc>
        <w:tc>
          <w:tcPr>
            <w:tcW w:w="2340" w:type="dxa"/>
            <w:tcMar>
              <w:top w:w="80" w:type="dxa"/>
              <w:left w:w="120" w:type="dxa"/>
              <w:bottom w:w="80" w:type="dxa"/>
              <w:right w:w="120" w:type="dxa"/>
            </w:tcMar>
            <w:vAlign w:val="center"/>
          </w:tcPr>
          <w:p w14:paraId="10C26C91">
            <w:pPr>
              <w:spacing w:before="0" w:after="0" w:line="259" w:lineRule="auto"/>
            </w:pPr>
            <w:r>
              <w:rPr>
                <w:rFonts w:ascii="Calibri" w:hAnsi="Calibri" w:eastAsia="STHeiti"/>
                <w:b w:val="0"/>
                <w:color w:val="172B4D"/>
                <w:sz w:val="16"/>
              </w:rPr>
              <w:t>实验是否显著优于对照组的结论。</w:t>
            </w:r>
          </w:p>
        </w:tc>
      </w:tr>
      <w:tr w14:paraId="74003967">
        <w:tc>
          <w:tcPr>
            <w:tcW w:w="2340" w:type="dxa"/>
            <w:tcMar>
              <w:top w:w="80" w:type="dxa"/>
              <w:left w:w="120" w:type="dxa"/>
              <w:bottom w:w="80" w:type="dxa"/>
              <w:right w:w="120" w:type="dxa"/>
            </w:tcMar>
            <w:vAlign w:val="center"/>
          </w:tcPr>
          <w:p w14:paraId="2600EA72">
            <w:pPr>
              <w:spacing w:before="0" w:after="0" w:line="259" w:lineRule="auto"/>
              <w:jc w:val="center"/>
            </w:pPr>
            <w:r>
              <w:rPr>
                <w:rFonts w:ascii="Calibri" w:hAnsi="Calibri" w:eastAsia="STHeiti"/>
                <w:b w:val="0"/>
                <w:color w:val="172B4D"/>
                <w:sz w:val="16"/>
              </w:rPr>
              <w:t>归因分析模块</w:t>
            </w:r>
          </w:p>
        </w:tc>
        <w:tc>
          <w:tcPr>
            <w:tcW w:w="2340" w:type="dxa"/>
            <w:tcMar>
              <w:top w:w="80" w:type="dxa"/>
              <w:left w:w="120" w:type="dxa"/>
              <w:bottom w:w="80" w:type="dxa"/>
              <w:right w:w="120" w:type="dxa"/>
            </w:tcMar>
            <w:vAlign w:val="center"/>
          </w:tcPr>
          <w:p w14:paraId="1C54888E">
            <w:pPr>
              <w:spacing w:before="0" w:after="0" w:line="259" w:lineRule="auto"/>
              <w:jc w:val="center"/>
            </w:pPr>
            <w:r>
              <w:rPr>
                <w:rFonts w:ascii="Calibri" w:hAnsi="Calibri" w:eastAsia="STHeiti"/>
                <w:b w:val="0"/>
                <w:color w:val="172B4D"/>
                <w:sz w:val="16"/>
              </w:rPr>
              <w:t>P1</w:t>
            </w:r>
          </w:p>
        </w:tc>
        <w:tc>
          <w:tcPr>
            <w:tcW w:w="2340" w:type="dxa"/>
            <w:tcMar>
              <w:top w:w="80" w:type="dxa"/>
              <w:left w:w="120" w:type="dxa"/>
              <w:bottom w:w="80" w:type="dxa"/>
              <w:right w:w="120" w:type="dxa"/>
            </w:tcMar>
            <w:vAlign w:val="center"/>
          </w:tcPr>
          <w:p w14:paraId="66173139">
            <w:pPr>
              <w:spacing w:before="0" w:after="0" w:line="259" w:lineRule="auto"/>
            </w:pPr>
            <w:r>
              <w:rPr>
                <w:rFonts w:ascii="Calibri" w:hAnsi="Calibri" w:eastAsia="STHeiti"/>
                <w:b w:val="0"/>
                <w:color w:val="172B4D"/>
                <w:sz w:val="16"/>
              </w:rPr>
              <w:t>支持首次触达和最后触达模型切换，展示渠道订单数、GMV 和贡献占比。</w:t>
            </w:r>
          </w:p>
        </w:tc>
        <w:tc>
          <w:tcPr>
            <w:tcW w:w="2340" w:type="dxa"/>
            <w:tcMar>
              <w:top w:w="80" w:type="dxa"/>
              <w:left w:w="120" w:type="dxa"/>
              <w:bottom w:w="80" w:type="dxa"/>
              <w:right w:w="120" w:type="dxa"/>
            </w:tcMar>
            <w:vAlign w:val="center"/>
          </w:tcPr>
          <w:p w14:paraId="63CE496A">
            <w:pPr>
              <w:spacing w:before="0" w:after="0" w:line="259" w:lineRule="auto"/>
            </w:pPr>
            <w:r>
              <w:rPr>
                <w:rFonts w:ascii="Calibri" w:hAnsi="Calibri" w:eastAsia="STHeiti"/>
                <w:b w:val="0"/>
                <w:color w:val="172B4D"/>
                <w:sz w:val="16"/>
              </w:rPr>
              <w:t>渠道贡献排行、模型切换结果。</w:t>
            </w:r>
          </w:p>
        </w:tc>
      </w:tr>
      <w:tr w14:paraId="0E7071C3">
        <w:tc>
          <w:tcPr>
            <w:tcW w:w="2340" w:type="dxa"/>
            <w:tcMar>
              <w:top w:w="80" w:type="dxa"/>
              <w:left w:w="120" w:type="dxa"/>
              <w:bottom w:w="80" w:type="dxa"/>
              <w:right w:w="120" w:type="dxa"/>
            </w:tcMar>
            <w:vAlign w:val="center"/>
          </w:tcPr>
          <w:p w14:paraId="5C57D42C">
            <w:pPr>
              <w:spacing w:before="0" w:after="0" w:line="259" w:lineRule="auto"/>
              <w:jc w:val="center"/>
            </w:pPr>
            <w:r>
              <w:rPr>
                <w:rFonts w:ascii="Calibri" w:hAnsi="Calibri" w:eastAsia="STHeiti"/>
                <w:b w:val="0"/>
                <w:color w:val="172B4D"/>
                <w:sz w:val="16"/>
              </w:rPr>
              <w:t>策略配置模块</w:t>
            </w:r>
          </w:p>
        </w:tc>
        <w:tc>
          <w:tcPr>
            <w:tcW w:w="2340" w:type="dxa"/>
            <w:tcMar>
              <w:top w:w="80" w:type="dxa"/>
              <w:left w:w="120" w:type="dxa"/>
              <w:bottom w:w="80" w:type="dxa"/>
              <w:right w:w="120" w:type="dxa"/>
            </w:tcMar>
            <w:vAlign w:val="center"/>
          </w:tcPr>
          <w:p w14:paraId="0A85051F">
            <w:pPr>
              <w:spacing w:before="0" w:after="0" w:line="259" w:lineRule="auto"/>
              <w:jc w:val="center"/>
            </w:pPr>
            <w:r>
              <w:rPr>
                <w:rFonts w:ascii="Calibri" w:hAnsi="Calibri" w:eastAsia="STHeiti"/>
                <w:b w:val="0"/>
                <w:color w:val="172B4D"/>
                <w:sz w:val="16"/>
              </w:rPr>
              <w:t>P1</w:t>
            </w:r>
          </w:p>
        </w:tc>
        <w:tc>
          <w:tcPr>
            <w:tcW w:w="2340" w:type="dxa"/>
            <w:tcMar>
              <w:top w:w="80" w:type="dxa"/>
              <w:left w:w="120" w:type="dxa"/>
              <w:bottom w:w="80" w:type="dxa"/>
              <w:right w:w="120" w:type="dxa"/>
            </w:tcMar>
            <w:vAlign w:val="center"/>
          </w:tcPr>
          <w:p w14:paraId="4FAD5572">
            <w:pPr>
              <w:spacing w:before="0" w:after="0" w:line="259" w:lineRule="auto"/>
            </w:pPr>
            <w:r>
              <w:rPr>
                <w:rFonts w:ascii="Calibri" w:hAnsi="Calibri" w:eastAsia="STHeiti"/>
                <w:b w:val="0"/>
                <w:color w:val="172B4D"/>
                <w:sz w:val="16"/>
              </w:rPr>
              <w:t>允许配置实验分流比例、GMV 预警阈值和转化率预警阈值。</w:t>
            </w:r>
          </w:p>
        </w:tc>
        <w:tc>
          <w:tcPr>
            <w:tcW w:w="2340" w:type="dxa"/>
            <w:tcMar>
              <w:top w:w="80" w:type="dxa"/>
              <w:left w:w="120" w:type="dxa"/>
              <w:bottom w:w="80" w:type="dxa"/>
              <w:right w:w="120" w:type="dxa"/>
            </w:tcMar>
            <w:vAlign w:val="center"/>
          </w:tcPr>
          <w:p w14:paraId="569C3A66">
            <w:pPr>
              <w:spacing w:before="0" w:after="0" w:line="259" w:lineRule="auto"/>
              <w:jc w:val="center"/>
            </w:pPr>
            <w:r>
              <w:rPr>
                <w:rFonts w:ascii="Calibri" w:hAnsi="Calibri" w:eastAsia="STHeiti"/>
                <w:b w:val="0"/>
                <w:color w:val="172B4D"/>
                <w:sz w:val="16"/>
              </w:rPr>
              <w:t>可调整的业务策略参数。</w:t>
            </w:r>
          </w:p>
        </w:tc>
      </w:tr>
    </w:tbl>
    <w:p w14:paraId="230BA9EF"/>
    <w:p w14:paraId="25B4A673">
      <w:pPr>
        <w:pStyle w:val="4"/>
        <w:spacing w:before="200" w:after="120" w:line="264" w:lineRule="auto"/>
      </w:pPr>
      <w:r>
        <w:rPr>
          <w:rFonts w:ascii="Calibri" w:hAnsi="Calibri" w:eastAsia="STHeiti"/>
          <w:b/>
          <w:color w:val="2E74B5"/>
          <w:sz w:val="26"/>
        </w:rPr>
        <w:t>6.1 实时概览大屏</w:t>
      </w:r>
    </w:p>
    <w:p w14:paraId="2E5D6069">
      <w:pPr>
        <w:pStyle w:val="16"/>
        <w:spacing w:before="0" w:after="80" w:line="269" w:lineRule="auto"/>
      </w:pPr>
      <w:r>
        <w:rPr>
          <w:rFonts w:ascii="Calibri" w:hAnsi="Calibri" w:eastAsia="STHeiti"/>
          <w:color w:val="172B4D"/>
          <w:sz w:val="21"/>
        </w:rPr>
        <w:t>默认展示最近 24 小时整体数据，并支持按小时或按天聚合。</w:t>
      </w:r>
    </w:p>
    <w:p w14:paraId="18F69A74">
      <w:pPr>
        <w:pStyle w:val="16"/>
        <w:spacing w:before="0" w:after="80" w:line="269" w:lineRule="auto"/>
      </w:pPr>
      <w:r>
        <w:rPr>
          <w:rFonts w:ascii="Calibri" w:hAnsi="Calibri" w:eastAsia="STHeiti"/>
          <w:color w:val="172B4D"/>
          <w:sz w:val="21"/>
        </w:rPr>
        <w:t>核心卡片包括 DAU、GMV、购买转化率、AOV；低于阈值时展示预警状态。</w:t>
      </w:r>
    </w:p>
    <w:p w14:paraId="7EB584BD">
      <w:pPr>
        <w:pStyle w:val="16"/>
        <w:spacing w:before="0" w:after="80" w:line="269" w:lineRule="auto"/>
      </w:pPr>
      <w:r>
        <w:rPr>
          <w:rFonts w:ascii="Calibri" w:hAnsi="Calibri" w:eastAsia="STHeiti"/>
          <w:color w:val="172B4D"/>
          <w:sz w:val="21"/>
        </w:rPr>
        <w:t>趋势图至少包含 GMV 趋势和购买转化率趋势，随筛选条件联动刷新。</w:t>
      </w:r>
    </w:p>
    <w:p w14:paraId="7A72BB5A">
      <w:pPr>
        <w:pStyle w:val="4"/>
        <w:spacing w:before="200" w:after="120" w:line="264" w:lineRule="auto"/>
      </w:pPr>
      <w:r>
        <w:rPr>
          <w:rFonts w:ascii="Calibri" w:hAnsi="Calibri" w:eastAsia="STHeiti"/>
          <w:b/>
          <w:color w:val="2E74B5"/>
          <w:sz w:val="26"/>
        </w:rPr>
        <w:t>6.2 漏斗分析模块</w:t>
      </w:r>
    </w:p>
    <w:p w14:paraId="616B591D">
      <w:pPr>
        <w:pStyle w:val="16"/>
        <w:spacing w:before="0" w:after="80" w:line="269" w:lineRule="auto"/>
      </w:pPr>
      <w:r>
        <w:rPr>
          <w:rFonts w:ascii="Calibri" w:hAnsi="Calibri" w:eastAsia="STHeiti"/>
          <w:color w:val="172B4D"/>
          <w:sz w:val="21"/>
        </w:rPr>
        <w:t>漏斗步骤固定为 click、add_to_cart、buy，第一版不支持自定义漏斗。</w:t>
      </w:r>
    </w:p>
    <w:p w14:paraId="0FC80D61">
      <w:pPr>
        <w:pStyle w:val="16"/>
        <w:spacing w:before="0" w:after="80" w:line="269" w:lineRule="auto"/>
      </w:pPr>
      <w:r>
        <w:rPr>
          <w:rFonts w:ascii="Calibri" w:hAnsi="Calibri" w:eastAsia="STHeiti"/>
          <w:color w:val="172B4D"/>
          <w:sz w:val="21"/>
        </w:rPr>
        <w:t>展示每一步去重用户数、相邻步骤转化率和累计转化率。</w:t>
      </w:r>
    </w:p>
    <w:p w14:paraId="292811F7">
      <w:pPr>
        <w:pStyle w:val="16"/>
        <w:spacing w:before="0" w:after="80" w:line="269" w:lineRule="auto"/>
      </w:pPr>
      <w:r>
        <w:rPr>
          <w:rFonts w:ascii="Calibri" w:hAnsi="Calibri" w:eastAsia="STHeiti"/>
          <w:color w:val="172B4D"/>
          <w:sz w:val="21"/>
        </w:rPr>
        <w:t>当出现 buy 人数大于 add_to_cart 人数等模拟数据异常时，后端需返回异常标记供前端提示。</w:t>
      </w:r>
    </w:p>
    <w:p w14:paraId="3CBA08D8">
      <w:pPr>
        <w:pStyle w:val="4"/>
        <w:spacing w:before="200" w:after="120" w:line="264" w:lineRule="auto"/>
      </w:pPr>
      <w:r>
        <w:rPr>
          <w:rFonts w:ascii="Calibri" w:hAnsi="Calibri" w:eastAsia="STHeiti"/>
          <w:b/>
          <w:color w:val="2E74B5"/>
          <w:sz w:val="26"/>
        </w:rPr>
        <w:t>6.3 归因分析模块</w:t>
      </w:r>
    </w:p>
    <w:p w14:paraId="0E9C74E8">
      <w:pPr>
        <w:pStyle w:val="16"/>
        <w:spacing w:before="0" w:after="80" w:line="269" w:lineRule="auto"/>
      </w:pPr>
      <w:r>
        <w:rPr>
          <w:rFonts w:ascii="Calibri" w:hAnsi="Calibri" w:eastAsia="STHeiti"/>
          <w:color w:val="172B4D"/>
          <w:sz w:val="21"/>
        </w:rPr>
        <w:t>首次触达模型用于衡量渠道拉新贡献，取用户时间窗口内最早 channel。</w:t>
      </w:r>
    </w:p>
    <w:p w14:paraId="444984CD">
      <w:pPr>
        <w:pStyle w:val="16"/>
        <w:spacing w:before="0" w:after="80" w:line="269" w:lineRule="auto"/>
      </w:pPr>
      <w:r>
        <w:rPr>
          <w:rFonts w:ascii="Calibri" w:hAnsi="Calibri" w:eastAsia="STHeiti"/>
          <w:color w:val="172B4D"/>
          <w:sz w:val="21"/>
        </w:rPr>
        <w:t>最后触达模型用于衡量临门转化贡献，取购买前最近一次非 buy 事件 channel。</w:t>
      </w:r>
    </w:p>
    <w:p w14:paraId="5CEFDCD4">
      <w:pPr>
        <w:pStyle w:val="16"/>
        <w:spacing w:before="0" w:after="80" w:line="269" w:lineRule="auto"/>
      </w:pPr>
      <w:r>
        <w:rPr>
          <w:rFonts w:ascii="Calibri" w:hAnsi="Calibri" w:eastAsia="STHeiti"/>
          <w:color w:val="172B4D"/>
          <w:sz w:val="21"/>
        </w:rPr>
        <w:t>归因结果展示渠道 GMV、订单数和贡献占比，支持与时间范围联动。</w:t>
      </w:r>
    </w:p>
    <w:p w14:paraId="6FCEDAED">
      <w:pPr>
        <w:pStyle w:val="4"/>
        <w:spacing w:before="200" w:after="120" w:line="264" w:lineRule="auto"/>
      </w:pPr>
      <w:r>
        <w:rPr>
          <w:rFonts w:ascii="Calibri" w:hAnsi="Calibri" w:eastAsia="STHeiti"/>
          <w:b/>
          <w:color w:val="2E74B5"/>
          <w:sz w:val="26"/>
        </w:rPr>
        <w:t>6.4 A/B 实验评估模块</w:t>
      </w:r>
    </w:p>
    <w:p w14:paraId="7BBDD4A3">
      <w:pPr>
        <w:pStyle w:val="16"/>
        <w:spacing w:before="0" w:after="80" w:line="269" w:lineRule="auto"/>
      </w:pPr>
      <w:r>
        <w:rPr>
          <w:rFonts w:ascii="Calibri" w:hAnsi="Calibri" w:eastAsia="STHeiti"/>
          <w:color w:val="172B4D"/>
          <w:sz w:val="21"/>
        </w:rPr>
        <w:t>A 组定义为对照组，B 组定义为实验组。</w:t>
      </w:r>
    </w:p>
    <w:p w14:paraId="62F5D6A1">
      <w:pPr>
        <w:pStyle w:val="16"/>
        <w:spacing w:before="0" w:after="80" w:line="269" w:lineRule="auto"/>
      </w:pPr>
      <w:r>
        <w:rPr>
          <w:rFonts w:ascii="Calibri" w:hAnsi="Calibri" w:eastAsia="STHeiti"/>
          <w:color w:val="172B4D"/>
          <w:sz w:val="21"/>
        </w:rPr>
        <w:t>主指标为购买转化率，辅助指标包括 GMV、AOV、加购率、订单数。</w:t>
      </w:r>
    </w:p>
    <w:p w14:paraId="63141629">
      <w:pPr>
        <w:pStyle w:val="16"/>
        <w:spacing w:before="0" w:after="80" w:line="269" w:lineRule="auto"/>
      </w:pPr>
      <w:r>
        <w:rPr>
          <w:rFonts w:ascii="Calibri" w:hAnsi="Calibri" w:eastAsia="STHeiti"/>
          <w:color w:val="172B4D"/>
          <w:sz w:val="21"/>
        </w:rPr>
        <w:t>模块需输出一句业务结论，避免只展示统计值而不支持决策。</w:t>
      </w:r>
    </w:p>
    <w:p w14:paraId="0F898935">
      <w:pPr>
        <w:pStyle w:val="3"/>
        <w:spacing w:before="320" w:after="120" w:line="264" w:lineRule="auto"/>
      </w:pPr>
      <w:r>
        <w:rPr>
          <w:rFonts w:ascii="Calibri" w:hAnsi="Calibri" w:eastAsia="STHeiti"/>
          <w:b/>
          <w:color w:val="2E74B5"/>
          <w:sz w:val="32"/>
        </w:rPr>
        <w:t>7. 数据与接口需求</w:t>
      </w:r>
    </w:p>
    <w:p w14:paraId="0135FDA4">
      <w:pPr>
        <w:pStyle w:val="4"/>
        <w:spacing w:before="200" w:after="120" w:line="264" w:lineRule="auto"/>
      </w:pPr>
      <w:r>
        <w:rPr>
          <w:rFonts w:ascii="Calibri" w:hAnsi="Calibri" w:eastAsia="STHeiti"/>
          <w:b/>
          <w:color w:val="2E74B5"/>
          <w:sz w:val="26"/>
        </w:rPr>
        <w:t>7.1 数据字段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30967D17">
        <w:tc>
          <w:tcPr>
            <w:tcW w:w="1800" w:type="dxa"/>
            <w:shd w:val="clear" w:color="auto" w:fill="F2F4F7"/>
            <w:tcMar>
              <w:top w:w="80" w:type="dxa"/>
              <w:left w:w="120" w:type="dxa"/>
              <w:bottom w:w="80" w:type="dxa"/>
              <w:right w:w="120" w:type="dxa"/>
            </w:tcMar>
            <w:vAlign w:val="center"/>
          </w:tcPr>
          <w:p w14:paraId="388F0A9C">
            <w:pPr>
              <w:spacing w:before="0" w:after="0" w:line="259" w:lineRule="auto"/>
              <w:jc w:val="center"/>
            </w:pPr>
            <w:r>
              <w:rPr>
                <w:rFonts w:ascii="Calibri" w:hAnsi="Calibri" w:eastAsia="STHeiti"/>
                <w:b/>
                <w:color w:val="172B4D"/>
                <w:sz w:val="18"/>
              </w:rPr>
              <w:t>数据表</w:t>
            </w:r>
          </w:p>
        </w:tc>
        <w:tc>
          <w:tcPr>
            <w:tcW w:w="4608" w:type="dxa"/>
            <w:shd w:val="clear" w:color="auto" w:fill="F2F4F7"/>
            <w:tcMar>
              <w:top w:w="80" w:type="dxa"/>
              <w:left w:w="120" w:type="dxa"/>
              <w:bottom w:w="80" w:type="dxa"/>
              <w:right w:w="120" w:type="dxa"/>
            </w:tcMar>
            <w:vAlign w:val="center"/>
          </w:tcPr>
          <w:p w14:paraId="567EC649">
            <w:pPr>
              <w:spacing w:before="0" w:after="0" w:line="259" w:lineRule="auto"/>
              <w:jc w:val="center"/>
            </w:pPr>
            <w:r>
              <w:rPr>
                <w:rFonts w:ascii="Calibri" w:hAnsi="Calibri" w:eastAsia="STHeiti"/>
                <w:b/>
                <w:color w:val="172B4D"/>
                <w:sz w:val="18"/>
              </w:rPr>
              <w:t>关键字段</w:t>
            </w:r>
          </w:p>
        </w:tc>
        <w:tc>
          <w:tcPr>
            <w:tcW w:w="2952" w:type="dxa"/>
            <w:shd w:val="clear" w:color="auto" w:fill="F2F4F7"/>
            <w:tcMar>
              <w:top w:w="80" w:type="dxa"/>
              <w:left w:w="120" w:type="dxa"/>
              <w:bottom w:w="80" w:type="dxa"/>
              <w:right w:w="120" w:type="dxa"/>
            </w:tcMar>
            <w:vAlign w:val="center"/>
          </w:tcPr>
          <w:p w14:paraId="493401A3">
            <w:pPr>
              <w:spacing w:before="0" w:after="0" w:line="259" w:lineRule="auto"/>
              <w:jc w:val="center"/>
            </w:pPr>
            <w:r>
              <w:rPr>
                <w:rFonts w:ascii="Calibri" w:hAnsi="Calibri" w:eastAsia="STHeiti"/>
                <w:b/>
                <w:color w:val="172B4D"/>
                <w:sz w:val="18"/>
              </w:rPr>
              <w:t>说明</w:t>
            </w:r>
          </w:p>
        </w:tc>
      </w:tr>
      <w:tr w14:paraId="1E717ED2">
        <w:tc>
          <w:tcPr>
            <w:tcW w:w="3120" w:type="dxa"/>
            <w:tcMar>
              <w:top w:w="80" w:type="dxa"/>
              <w:left w:w="120" w:type="dxa"/>
              <w:bottom w:w="80" w:type="dxa"/>
              <w:right w:w="120" w:type="dxa"/>
            </w:tcMar>
            <w:vAlign w:val="center"/>
          </w:tcPr>
          <w:p w14:paraId="2E8117D1">
            <w:pPr>
              <w:spacing w:before="0" w:after="0" w:line="259" w:lineRule="auto"/>
              <w:jc w:val="center"/>
            </w:pPr>
            <w:r>
              <w:rPr>
                <w:rFonts w:ascii="Calibri" w:hAnsi="Calibri" w:eastAsia="STHeiti"/>
                <w:b w:val="0"/>
                <w:color w:val="172B4D"/>
                <w:sz w:val="16"/>
              </w:rPr>
              <w:t>events</w:t>
            </w:r>
          </w:p>
        </w:tc>
        <w:tc>
          <w:tcPr>
            <w:tcW w:w="3120" w:type="dxa"/>
            <w:tcMar>
              <w:top w:w="80" w:type="dxa"/>
              <w:left w:w="120" w:type="dxa"/>
              <w:bottom w:w="80" w:type="dxa"/>
              <w:right w:w="120" w:type="dxa"/>
            </w:tcMar>
            <w:vAlign w:val="center"/>
          </w:tcPr>
          <w:p w14:paraId="5324BEE8">
            <w:pPr>
              <w:spacing w:before="0" w:after="0" w:line="259" w:lineRule="auto"/>
            </w:pPr>
            <w:r>
              <w:rPr>
                <w:rFonts w:ascii="Calibri" w:hAnsi="Calibri" w:eastAsia="STHeiti"/>
                <w:b w:val="0"/>
                <w:color w:val="172B4D"/>
                <w:sz w:val="16"/>
              </w:rPr>
              <w:t>event_id, user_id, session_id, event_type, experiment_group, channel, product_id, order_value, created_at</w:t>
            </w:r>
          </w:p>
        </w:tc>
        <w:tc>
          <w:tcPr>
            <w:tcW w:w="3120" w:type="dxa"/>
            <w:tcMar>
              <w:top w:w="80" w:type="dxa"/>
              <w:left w:w="120" w:type="dxa"/>
              <w:bottom w:w="80" w:type="dxa"/>
              <w:right w:w="120" w:type="dxa"/>
            </w:tcMar>
            <w:vAlign w:val="center"/>
          </w:tcPr>
          <w:p w14:paraId="0A8F57D1">
            <w:pPr>
              <w:spacing w:before="0" w:after="0" w:line="259" w:lineRule="auto"/>
            </w:pPr>
            <w:r>
              <w:rPr>
                <w:rFonts w:ascii="Calibri" w:hAnsi="Calibri" w:eastAsia="STHeiti"/>
                <w:b w:val="0"/>
                <w:color w:val="172B4D"/>
                <w:sz w:val="16"/>
              </w:rPr>
              <w:t>核心行为事件表，用于实时指标、漏斗、归因和实验评估。</w:t>
            </w:r>
          </w:p>
        </w:tc>
      </w:tr>
      <w:tr w14:paraId="3E5920C7">
        <w:tc>
          <w:tcPr>
            <w:tcW w:w="3120" w:type="dxa"/>
            <w:tcMar>
              <w:top w:w="80" w:type="dxa"/>
              <w:left w:w="120" w:type="dxa"/>
              <w:bottom w:w="80" w:type="dxa"/>
              <w:right w:w="120" w:type="dxa"/>
            </w:tcMar>
            <w:vAlign w:val="center"/>
          </w:tcPr>
          <w:p w14:paraId="328F2F8E">
            <w:pPr>
              <w:spacing w:before="0" w:after="0" w:line="259" w:lineRule="auto"/>
              <w:jc w:val="center"/>
            </w:pPr>
            <w:r>
              <w:rPr>
                <w:rFonts w:ascii="Calibri" w:hAnsi="Calibri" w:eastAsia="STHeiti"/>
                <w:b w:val="0"/>
                <w:color w:val="172B4D"/>
                <w:sz w:val="16"/>
              </w:rPr>
              <w:t>users</w:t>
            </w:r>
          </w:p>
        </w:tc>
        <w:tc>
          <w:tcPr>
            <w:tcW w:w="3120" w:type="dxa"/>
            <w:tcMar>
              <w:top w:w="80" w:type="dxa"/>
              <w:left w:w="120" w:type="dxa"/>
              <w:bottom w:w="80" w:type="dxa"/>
              <w:right w:w="120" w:type="dxa"/>
            </w:tcMar>
            <w:vAlign w:val="center"/>
          </w:tcPr>
          <w:p w14:paraId="46CFFBCA">
            <w:pPr>
              <w:spacing w:before="0" w:after="0" w:line="259" w:lineRule="auto"/>
            </w:pPr>
            <w:r>
              <w:rPr>
                <w:rFonts w:ascii="Calibri" w:hAnsi="Calibri" w:eastAsia="STHeiti"/>
                <w:b w:val="0"/>
                <w:color w:val="172B4D"/>
                <w:sz w:val="16"/>
              </w:rPr>
              <w:t>user_id, first_seen_at, acquisition_channel, country, device_type</w:t>
            </w:r>
          </w:p>
        </w:tc>
        <w:tc>
          <w:tcPr>
            <w:tcW w:w="3120" w:type="dxa"/>
            <w:tcMar>
              <w:top w:w="80" w:type="dxa"/>
              <w:left w:w="120" w:type="dxa"/>
              <w:bottom w:w="80" w:type="dxa"/>
              <w:right w:w="120" w:type="dxa"/>
            </w:tcMar>
            <w:vAlign w:val="center"/>
          </w:tcPr>
          <w:p w14:paraId="27F9AFC8">
            <w:pPr>
              <w:spacing w:before="0" w:after="0" w:line="259" w:lineRule="auto"/>
            </w:pPr>
            <w:r>
              <w:rPr>
                <w:rFonts w:ascii="Calibri" w:hAnsi="Calibri" w:eastAsia="STHeiti"/>
                <w:b w:val="0"/>
                <w:color w:val="172B4D"/>
                <w:sz w:val="16"/>
              </w:rPr>
              <w:t>用户维表，用于后续人群下钻和渠道分析扩展。</w:t>
            </w:r>
          </w:p>
        </w:tc>
      </w:tr>
      <w:tr w14:paraId="707B1F73">
        <w:tc>
          <w:tcPr>
            <w:tcW w:w="3120" w:type="dxa"/>
            <w:tcMar>
              <w:top w:w="80" w:type="dxa"/>
              <w:left w:w="120" w:type="dxa"/>
              <w:bottom w:w="80" w:type="dxa"/>
              <w:right w:w="120" w:type="dxa"/>
            </w:tcMar>
            <w:vAlign w:val="center"/>
          </w:tcPr>
          <w:p w14:paraId="3339BFCD">
            <w:pPr>
              <w:spacing w:before="0" w:after="0" w:line="259" w:lineRule="auto"/>
              <w:jc w:val="center"/>
            </w:pPr>
            <w:r>
              <w:rPr>
                <w:rFonts w:ascii="Calibri" w:hAnsi="Calibri" w:eastAsia="STHeiti"/>
                <w:b w:val="0"/>
                <w:color w:val="172B4D"/>
                <w:sz w:val="16"/>
              </w:rPr>
              <w:t>experiment_config</w:t>
            </w:r>
          </w:p>
        </w:tc>
        <w:tc>
          <w:tcPr>
            <w:tcW w:w="3120" w:type="dxa"/>
            <w:tcMar>
              <w:top w:w="80" w:type="dxa"/>
              <w:left w:w="120" w:type="dxa"/>
              <w:bottom w:w="80" w:type="dxa"/>
              <w:right w:w="120" w:type="dxa"/>
            </w:tcMar>
            <w:vAlign w:val="center"/>
          </w:tcPr>
          <w:p w14:paraId="13CEE072">
            <w:pPr>
              <w:spacing w:before="0" w:after="0" w:line="259" w:lineRule="auto"/>
            </w:pPr>
            <w:r>
              <w:rPr>
                <w:rFonts w:ascii="Calibri" w:hAnsi="Calibri" w:eastAsia="STHeiti"/>
                <w:b w:val="0"/>
                <w:color w:val="172B4D"/>
                <w:sz w:val="16"/>
              </w:rPr>
              <w:t>experiment_id, traffic_split_a, traffic_split_b, conversion_alert_threshold, gmv_alert_threshold, updated_at</w:t>
            </w:r>
          </w:p>
        </w:tc>
        <w:tc>
          <w:tcPr>
            <w:tcW w:w="3120" w:type="dxa"/>
            <w:tcMar>
              <w:top w:w="80" w:type="dxa"/>
              <w:left w:w="120" w:type="dxa"/>
              <w:bottom w:w="80" w:type="dxa"/>
              <w:right w:w="120" w:type="dxa"/>
            </w:tcMar>
            <w:vAlign w:val="center"/>
          </w:tcPr>
          <w:p w14:paraId="295F0DEF">
            <w:pPr>
              <w:spacing w:before="0" w:after="0" w:line="259" w:lineRule="auto"/>
            </w:pPr>
            <w:r>
              <w:rPr>
                <w:rFonts w:ascii="Calibri" w:hAnsi="Calibri" w:eastAsia="STHeiti"/>
                <w:b w:val="0"/>
                <w:color w:val="172B4D"/>
                <w:sz w:val="16"/>
              </w:rPr>
              <w:t>实验配置表，用于分流比例和预警阈值管理。</w:t>
            </w:r>
          </w:p>
        </w:tc>
      </w:tr>
    </w:tbl>
    <w:p w14:paraId="21BB71A3"/>
    <w:p w14:paraId="4B276A8D">
      <w:pPr>
        <w:pStyle w:val="4"/>
        <w:spacing w:before="200" w:after="120" w:line="264" w:lineRule="auto"/>
      </w:pPr>
      <w:r>
        <w:rPr>
          <w:rFonts w:ascii="Calibri" w:hAnsi="Calibri" w:eastAsia="STHeiti"/>
          <w:b/>
          <w:color w:val="2E74B5"/>
          <w:sz w:val="26"/>
        </w:rPr>
        <w:t>7.2 API 清单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58D9AC31">
        <w:tc>
          <w:tcPr>
            <w:tcW w:w="1800" w:type="dxa"/>
            <w:shd w:val="clear" w:color="auto" w:fill="F2F4F7"/>
            <w:tcMar>
              <w:top w:w="80" w:type="dxa"/>
              <w:left w:w="120" w:type="dxa"/>
              <w:bottom w:w="80" w:type="dxa"/>
              <w:right w:w="120" w:type="dxa"/>
            </w:tcMar>
            <w:vAlign w:val="center"/>
          </w:tcPr>
          <w:p w14:paraId="330D50F9">
            <w:pPr>
              <w:spacing w:before="0" w:after="0" w:line="259" w:lineRule="auto"/>
              <w:jc w:val="center"/>
            </w:pPr>
            <w:r>
              <w:rPr>
                <w:rFonts w:ascii="Calibri" w:hAnsi="Calibri" w:eastAsia="STHeiti"/>
                <w:b/>
                <w:color w:val="172B4D"/>
                <w:sz w:val="18"/>
              </w:rPr>
              <w:t>接口</w:t>
            </w:r>
          </w:p>
        </w:tc>
        <w:tc>
          <w:tcPr>
            <w:tcW w:w="936" w:type="dxa"/>
            <w:shd w:val="clear" w:color="auto" w:fill="F2F4F7"/>
            <w:tcMar>
              <w:top w:w="80" w:type="dxa"/>
              <w:left w:w="120" w:type="dxa"/>
              <w:bottom w:w="80" w:type="dxa"/>
              <w:right w:w="120" w:type="dxa"/>
            </w:tcMar>
            <w:vAlign w:val="center"/>
          </w:tcPr>
          <w:p w14:paraId="47F7E3AF">
            <w:pPr>
              <w:spacing w:before="0" w:after="0" w:line="259" w:lineRule="auto"/>
              <w:jc w:val="center"/>
            </w:pPr>
            <w:r>
              <w:rPr>
                <w:rFonts w:ascii="Calibri" w:hAnsi="Calibri" w:eastAsia="STHeiti"/>
                <w:b/>
                <w:color w:val="172B4D"/>
                <w:sz w:val="18"/>
              </w:rPr>
              <w:t>方法</w:t>
            </w:r>
          </w:p>
        </w:tc>
        <w:tc>
          <w:tcPr>
            <w:tcW w:w="3384" w:type="dxa"/>
            <w:shd w:val="clear" w:color="auto" w:fill="F2F4F7"/>
            <w:tcMar>
              <w:top w:w="80" w:type="dxa"/>
              <w:left w:w="120" w:type="dxa"/>
              <w:bottom w:w="80" w:type="dxa"/>
              <w:right w:w="120" w:type="dxa"/>
            </w:tcMar>
            <w:vAlign w:val="center"/>
          </w:tcPr>
          <w:p w14:paraId="1D4E8840">
            <w:pPr>
              <w:spacing w:before="0" w:after="0" w:line="259" w:lineRule="auto"/>
              <w:jc w:val="center"/>
            </w:pPr>
            <w:r>
              <w:rPr>
                <w:rFonts w:ascii="Calibri" w:hAnsi="Calibri" w:eastAsia="STHeiti"/>
                <w:b/>
                <w:color w:val="172B4D"/>
                <w:sz w:val="18"/>
              </w:rPr>
              <w:t>入参</w:t>
            </w:r>
          </w:p>
        </w:tc>
        <w:tc>
          <w:tcPr>
            <w:tcW w:w="3240" w:type="dxa"/>
            <w:shd w:val="clear" w:color="auto" w:fill="F2F4F7"/>
            <w:tcMar>
              <w:top w:w="80" w:type="dxa"/>
              <w:left w:w="120" w:type="dxa"/>
              <w:bottom w:w="80" w:type="dxa"/>
              <w:right w:w="120" w:type="dxa"/>
            </w:tcMar>
            <w:vAlign w:val="center"/>
          </w:tcPr>
          <w:p w14:paraId="23F0B4C9">
            <w:pPr>
              <w:spacing w:before="0" w:after="0" w:line="259" w:lineRule="auto"/>
              <w:jc w:val="center"/>
            </w:pPr>
            <w:r>
              <w:rPr>
                <w:rFonts w:ascii="Calibri" w:hAnsi="Calibri" w:eastAsia="STHeiti"/>
                <w:b/>
                <w:color w:val="172B4D"/>
                <w:sz w:val="18"/>
              </w:rPr>
              <w:t>返回结果</w:t>
            </w:r>
          </w:p>
        </w:tc>
      </w:tr>
      <w:tr w14:paraId="6A1DBFA6">
        <w:tc>
          <w:tcPr>
            <w:tcW w:w="2340" w:type="dxa"/>
            <w:tcMar>
              <w:top w:w="80" w:type="dxa"/>
              <w:left w:w="120" w:type="dxa"/>
              <w:bottom w:w="80" w:type="dxa"/>
              <w:right w:w="120" w:type="dxa"/>
            </w:tcMar>
            <w:vAlign w:val="center"/>
          </w:tcPr>
          <w:p w14:paraId="05FC041D">
            <w:pPr>
              <w:spacing w:before="0" w:after="0" w:line="259" w:lineRule="auto"/>
              <w:jc w:val="center"/>
            </w:pPr>
            <w:r>
              <w:rPr>
                <w:rFonts w:ascii="Calibri" w:hAnsi="Calibri" w:eastAsia="STHeiti"/>
                <w:b w:val="0"/>
                <w:color w:val="172B4D"/>
                <w:sz w:val="16"/>
              </w:rPr>
              <w:t>/health</w:t>
            </w:r>
          </w:p>
        </w:tc>
        <w:tc>
          <w:tcPr>
            <w:tcW w:w="2340" w:type="dxa"/>
            <w:tcMar>
              <w:top w:w="80" w:type="dxa"/>
              <w:left w:w="120" w:type="dxa"/>
              <w:bottom w:w="80" w:type="dxa"/>
              <w:right w:w="120" w:type="dxa"/>
            </w:tcMar>
            <w:vAlign w:val="center"/>
          </w:tcPr>
          <w:p w14:paraId="33E45411">
            <w:pPr>
              <w:spacing w:before="0" w:after="0" w:line="259" w:lineRule="auto"/>
              <w:jc w:val="center"/>
            </w:pPr>
            <w:r>
              <w:rPr>
                <w:rFonts w:ascii="Calibri" w:hAnsi="Calibri" w:eastAsia="STHeiti"/>
                <w:b w:val="0"/>
                <w:color w:val="172B4D"/>
                <w:sz w:val="16"/>
              </w:rPr>
              <w:t>GET</w:t>
            </w:r>
          </w:p>
        </w:tc>
        <w:tc>
          <w:tcPr>
            <w:tcW w:w="2340" w:type="dxa"/>
            <w:tcMar>
              <w:top w:w="80" w:type="dxa"/>
              <w:left w:w="120" w:type="dxa"/>
              <w:bottom w:w="80" w:type="dxa"/>
              <w:right w:w="120" w:type="dxa"/>
            </w:tcMar>
            <w:vAlign w:val="center"/>
          </w:tcPr>
          <w:p w14:paraId="39ACD0F7">
            <w:pPr>
              <w:spacing w:before="0" w:after="0" w:line="259" w:lineRule="auto"/>
              <w:jc w:val="center"/>
            </w:pPr>
            <w:r>
              <w:rPr>
                <w:rFonts w:ascii="Calibri" w:hAnsi="Calibri" w:eastAsia="STHeiti"/>
                <w:b w:val="0"/>
                <w:color w:val="172B4D"/>
                <w:sz w:val="16"/>
              </w:rPr>
              <w:t>无</w:t>
            </w:r>
          </w:p>
        </w:tc>
        <w:tc>
          <w:tcPr>
            <w:tcW w:w="2340" w:type="dxa"/>
            <w:tcMar>
              <w:top w:w="80" w:type="dxa"/>
              <w:left w:w="120" w:type="dxa"/>
              <w:bottom w:w="80" w:type="dxa"/>
              <w:right w:w="120" w:type="dxa"/>
            </w:tcMar>
            <w:vAlign w:val="center"/>
          </w:tcPr>
          <w:p w14:paraId="12F819A7">
            <w:pPr>
              <w:spacing w:before="0" w:after="0" w:line="259" w:lineRule="auto"/>
            </w:pPr>
            <w:r>
              <w:rPr>
                <w:rFonts w:ascii="Calibri" w:hAnsi="Calibri" w:eastAsia="STHeiti"/>
                <w:b w:val="0"/>
                <w:color w:val="172B4D"/>
                <w:sz w:val="16"/>
              </w:rPr>
              <w:t>服务状态、数据库连接状态。</w:t>
            </w:r>
          </w:p>
        </w:tc>
      </w:tr>
      <w:tr w14:paraId="3A258BE4">
        <w:tc>
          <w:tcPr>
            <w:tcW w:w="2340" w:type="dxa"/>
            <w:tcMar>
              <w:top w:w="80" w:type="dxa"/>
              <w:left w:w="120" w:type="dxa"/>
              <w:bottom w:w="80" w:type="dxa"/>
              <w:right w:w="120" w:type="dxa"/>
            </w:tcMar>
            <w:vAlign w:val="center"/>
          </w:tcPr>
          <w:p w14:paraId="4E8CB7D4">
            <w:pPr>
              <w:spacing w:before="0" w:after="0" w:line="259" w:lineRule="auto"/>
              <w:jc w:val="center"/>
            </w:pPr>
            <w:r>
              <w:rPr>
                <w:rFonts w:ascii="Calibri" w:hAnsi="Calibri" w:eastAsia="STHeiti"/>
                <w:b w:val="0"/>
                <w:color w:val="172B4D"/>
                <w:sz w:val="16"/>
              </w:rPr>
              <w:t>/api/metrics</w:t>
            </w:r>
          </w:p>
        </w:tc>
        <w:tc>
          <w:tcPr>
            <w:tcW w:w="2340" w:type="dxa"/>
            <w:tcMar>
              <w:top w:w="80" w:type="dxa"/>
              <w:left w:w="120" w:type="dxa"/>
              <w:bottom w:w="80" w:type="dxa"/>
              <w:right w:w="120" w:type="dxa"/>
            </w:tcMar>
            <w:vAlign w:val="center"/>
          </w:tcPr>
          <w:p w14:paraId="4F92D232">
            <w:pPr>
              <w:spacing w:before="0" w:after="0" w:line="259" w:lineRule="auto"/>
              <w:jc w:val="center"/>
            </w:pPr>
            <w:r>
              <w:rPr>
                <w:rFonts w:ascii="Calibri" w:hAnsi="Calibri" w:eastAsia="STHeiti"/>
                <w:b w:val="0"/>
                <w:color w:val="172B4D"/>
                <w:sz w:val="16"/>
              </w:rPr>
              <w:t>GET</w:t>
            </w:r>
          </w:p>
        </w:tc>
        <w:tc>
          <w:tcPr>
            <w:tcW w:w="2340" w:type="dxa"/>
            <w:tcMar>
              <w:top w:w="80" w:type="dxa"/>
              <w:left w:w="120" w:type="dxa"/>
              <w:bottom w:w="80" w:type="dxa"/>
              <w:right w:w="120" w:type="dxa"/>
            </w:tcMar>
            <w:vAlign w:val="center"/>
          </w:tcPr>
          <w:p w14:paraId="23404E73">
            <w:pPr>
              <w:spacing w:before="0" w:after="0" w:line="259" w:lineRule="auto"/>
            </w:pPr>
            <w:r>
              <w:rPr>
                <w:rFonts w:ascii="Calibri" w:hAnsi="Calibri" w:eastAsia="STHeiti"/>
                <w:b w:val="0"/>
                <w:color w:val="172B4D"/>
                <w:sz w:val="16"/>
              </w:rPr>
              <w:t>start_time, end_time, granularity, experiment_group</w:t>
            </w:r>
          </w:p>
        </w:tc>
        <w:tc>
          <w:tcPr>
            <w:tcW w:w="2340" w:type="dxa"/>
            <w:tcMar>
              <w:top w:w="80" w:type="dxa"/>
              <w:left w:w="120" w:type="dxa"/>
              <w:bottom w:w="80" w:type="dxa"/>
              <w:right w:w="120" w:type="dxa"/>
            </w:tcMar>
            <w:vAlign w:val="center"/>
          </w:tcPr>
          <w:p w14:paraId="238655A0">
            <w:pPr>
              <w:spacing w:before="0" w:after="0" w:line="259" w:lineRule="auto"/>
            </w:pPr>
            <w:r>
              <w:rPr>
                <w:rFonts w:ascii="Calibri" w:hAnsi="Calibri" w:eastAsia="STHeiti"/>
                <w:b w:val="0"/>
                <w:color w:val="172B4D"/>
                <w:sz w:val="16"/>
              </w:rPr>
              <w:t>DAU、GMV、转化率、AOV、趋势数据。</w:t>
            </w:r>
          </w:p>
        </w:tc>
      </w:tr>
      <w:tr w14:paraId="7BB1FECE">
        <w:tc>
          <w:tcPr>
            <w:tcW w:w="2340" w:type="dxa"/>
            <w:tcMar>
              <w:top w:w="80" w:type="dxa"/>
              <w:left w:w="120" w:type="dxa"/>
              <w:bottom w:w="80" w:type="dxa"/>
              <w:right w:w="120" w:type="dxa"/>
            </w:tcMar>
            <w:vAlign w:val="center"/>
          </w:tcPr>
          <w:p w14:paraId="30EA8A0D">
            <w:pPr>
              <w:spacing w:before="0" w:after="0" w:line="259" w:lineRule="auto"/>
              <w:jc w:val="center"/>
            </w:pPr>
            <w:r>
              <w:rPr>
                <w:rFonts w:ascii="Calibri" w:hAnsi="Calibri" w:eastAsia="STHeiti"/>
                <w:b w:val="0"/>
                <w:color w:val="172B4D"/>
                <w:sz w:val="16"/>
              </w:rPr>
              <w:t>/api/funnel</w:t>
            </w:r>
          </w:p>
        </w:tc>
        <w:tc>
          <w:tcPr>
            <w:tcW w:w="2340" w:type="dxa"/>
            <w:tcMar>
              <w:top w:w="80" w:type="dxa"/>
              <w:left w:w="120" w:type="dxa"/>
              <w:bottom w:w="80" w:type="dxa"/>
              <w:right w:w="120" w:type="dxa"/>
            </w:tcMar>
            <w:vAlign w:val="center"/>
          </w:tcPr>
          <w:p w14:paraId="4183337D">
            <w:pPr>
              <w:spacing w:before="0" w:after="0" w:line="259" w:lineRule="auto"/>
              <w:jc w:val="center"/>
            </w:pPr>
            <w:r>
              <w:rPr>
                <w:rFonts w:ascii="Calibri" w:hAnsi="Calibri" w:eastAsia="STHeiti"/>
                <w:b w:val="0"/>
                <w:color w:val="172B4D"/>
                <w:sz w:val="16"/>
              </w:rPr>
              <w:t>GET</w:t>
            </w:r>
          </w:p>
        </w:tc>
        <w:tc>
          <w:tcPr>
            <w:tcW w:w="2340" w:type="dxa"/>
            <w:tcMar>
              <w:top w:w="80" w:type="dxa"/>
              <w:left w:w="120" w:type="dxa"/>
              <w:bottom w:w="80" w:type="dxa"/>
              <w:right w:w="120" w:type="dxa"/>
            </w:tcMar>
            <w:vAlign w:val="center"/>
          </w:tcPr>
          <w:p w14:paraId="2829EAC3">
            <w:pPr>
              <w:spacing w:before="0" w:after="0" w:line="259" w:lineRule="auto"/>
            </w:pPr>
            <w:r>
              <w:rPr>
                <w:rFonts w:ascii="Calibri" w:hAnsi="Calibri" w:eastAsia="STHeiti"/>
                <w:b w:val="0"/>
                <w:color w:val="172B4D"/>
                <w:sz w:val="16"/>
              </w:rPr>
              <w:t>start_time, end_time, experiment_group</w:t>
            </w:r>
          </w:p>
        </w:tc>
        <w:tc>
          <w:tcPr>
            <w:tcW w:w="2340" w:type="dxa"/>
            <w:tcMar>
              <w:top w:w="80" w:type="dxa"/>
              <w:left w:w="120" w:type="dxa"/>
              <w:bottom w:w="80" w:type="dxa"/>
              <w:right w:w="120" w:type="dxa"/>
            </w:tcMar>
            <w:vAlign w:val="center"/>
          </w:tcPr>
          <w:p w14:paraId="21321306">
            <w:pPr>
              <w:spacing w:before="0" w:after="0" w:line="259" w:lineRule="auto"/>
            </w:pPr>
            <w:r>
              <w:rPr>
                <w:rFonts w:ascii="Calibri" w:hAnsi="Calibri" w:eastAsia="STHeiti"/>
                <w:b w:val="0"/>
                <w:color w:val="172B4D"/>
                <w:sz w:val="16"/>
              </w:rPr>
              <w:t>漏斗各步骤人数、转化率、流失率。</w:t>
            </w:r>
          </w:p>
        </w:tc>
      </w:tr>
      <w:tr w14:paraId="4E42EC43">
        <w:tc>
          <w:tcPr>
            <w:tcW w:w="2340" w:type="dxa"/>
            <w:tcMar>
              <w:top w:w="80" w:type="dxa"/>
              <w:left w:w="120" w:type="dxa"/>
              <w:bottom w:w="80" w:type="dxa"/>
              <w:right w:w="120" w:type="dxa"/>
            </w:tcMar>
            <w:vAlign w:val="center"/>
          </w:tcPr>
          <w:p w14:paraId="24FD1B95">
            <w:pPr>
              <w:spacing w:before="0" w:after="0" w:line="259" w:lineRule="auto"/>
              <w:jc w:val="center"/>
            </w:pPr>
            <w:r>
              <w:rPr>
                <w:rFonts w:ascii="Calibri" w:hAnsi="Calibri" w:eastAsia="STHeiti"/>
                <w:b w:val="0"/>
                <w:color w:val="172B4D"/>
                <w:sz w:val="16"/>
              </w:rPr>
              <w:t>/api/attribution</w:t>
            </w:r>
          </w:p>
        </w:tc>
        <w:tc>
          <w:tcPr>
            <w:tcW w:w="2340" w:type="dxa"/>
            <w:tcMar>
              <w:top w:w="80" w:type="dxa"/>
              <w:left w:w="120" w:type="dxa"/>
              <w:bottom w:w="80" w:type="dxa"/>
              <w:right w:w="120" w:type="dxa"/>
            </w:tcMar>
            <w:vAlign w:val="center"/>
          </w:tcPr>
          <w:p w14:paraId="1ECE6BDE">
            <w:pPr>
              <w:spacing w:before="0" w:after="0" w:line="259" w:lineRule="auto"/>
              <w:jc w:val="center"/>
            </w:pPr>
            <w:r>
              <w:rPr>
                <w:rFonts w:ascii="Calibri" w:hAnsi="Calibri" w:eastAsia="STHeiti"/>
                <w:b w:val="0"/>
                <w:color w:val="172B4D"/>
                <w:sz w:val="16"/>
              </w:rPr>
              <w:t>GET</w:t>
            </w:r>
          </w:p>
        </w:tc>
        <w:tc>
          <w:tcPr>
            <w:tcW w:w="2340" w:type="dxa"/>
            <w:tcMar>
              <w:top w:w="80" w:type="dxa"/>
              <w:left w:w="120" w:type="dxa"/>
              <w:bottom w:w="80" w:type="dxa"/>
              <w:right w:w="120" w:type="dxa"/>
            </w:tcMar>
            <w:vAlign w:val="center"/>
          </w:tcPr>
          <w:p w14:paraId="5C321854">
            <w:pPr>
              <w:spacing w:before="0" w:after="0" w:line="259" w:lineRule="auto"/>
            </w:pPr>
            <w:r>
              <w:rPr>
                <w:rFonts w:ascii="Calibri" w:hAnsi="Calibri" w:eastAsia="STHeiti"/>
                <w:b w:val="0"/>
                <w:color w:val="172B4D"/>
                <w:sz w:val="16"/>
              </w:rPr>
              <w:t>start_time, end_time, model</w:t>
            </w:r>
          </w:p>
        </w:tc>
        <w:tc>
          <w:tcPr>
            <w:tcW w:w="2340" w:type="dxa"/>
            <w:tcMar>
              <w:top w:w="80" w:type="dxa"/>
              <w:left w:w="120" w:type="dxa"/>
              <w:bottom w:w="80" w:type="dxa"/>
              <w:right w:w="120" w:type="dxa"/>
            </w:tcMar>
            <w:vAlign w:val="center"/>
          </w:tcPr>
          <w:p w14:paraId="6E97FADA">
            <w:pPr>
              <w:spacing w:before="0" w:after="0" w:line="259" w:lineRule="auto"/>
            </w:pPr>
            <w:r>
              <w:rPr>
                <w:rFonts w:ascii="Calibri" w:hAnsi="Calibri" w:eastAsia="STHeiti"/>
                <w:b w:val="0"/>
                <w:color w:val="172B4D"/>
                <w:sz w:val="16"/>
              </w:rPr>
              <w:t>渠道订单数、GMV、贡献占比。</w:t>
            </w:r>
          </w:p>
        </w:tc>
      </w:tr>
      <w:tr w14:paraId="06C499DA">
        <w:tc>
          <w:tcPr>
            <w:tcW w:w="2340" w:type="dxa"/>
            <w:tcMar>
              <w:top w:w="80" w:type="dxa"/>
              <w:left w:w="120" w:type="dxa"/>
              <w:bottom w:w="80" w:type="dxa"/>
              <w:right w:w="120" w:type="dxa"/>
            </w:tcMar>
            <w:vAlign w:val="center"/>
          </w:tcPr>
          <w:p w14:paraId="6A8B6C23">
            <w:pPr>
              <w:spacing w:before="0" w:after="0" w:line="259" w:lineRule="auto"/>
              <w:jc w:val="center"/>
            </w:pPr>
            <w:r>
              <w:rPr>
                <w:rFonts w:ascii="Calibri" w:hAnsi="Calibri" w:eastAsia="STHeiti"/>
                <w:b w:val="0"/>
                <w:color w:val="172B4D"/>
                <w:sz w:val="16"/>
              </w:rPr>
              <w:t>/api/experiment</w:t>
            </w:r>
          </w:p>
        </w:tc>
        <w:tc>
          <w:tcPr>
            <w:tcW w:w="2340" w:type="dxa"/>
            <w:tcMar>
              <w:top w:w="80" w:type="dxa"/>
              <w:left w:w="120" w:type="dxa"/>
              <w:bottom w:w="80" w:type="dxa"/>
              <w:right w:w="120" w:type="dxa"/>
            </w:tcMar>
            <w:vAlign w:val="center"/>
          </w:tcPr>
          <w:p w14:paraId="59E44008">
            <w:pPr>
              <w:spacing w:before="0" w:after="0" w:line="259" w:lineRule="auto"/>
              <w:jc w:val="center"/>
            </w:pPr>
            <w:r>
              <w:rPr>
                <w:rFonts w:ascii="Calibri" w:hAnsi="Calibri" w:eastAsia="STHeiti"/>
                <w:b w:val="0"/>
                <w:color w:val="172B4D"/>
                <w:sz w:val="16"/>
              </w:rPr>
              <w:t>GET</w:t>
            </w:r>
          </w:p>
        </w:tc>
        <w:tc>
          <w:tcPr>
            <w:tcW w:w="2340" w:type="dxa"/>
            <w:tcMar>
              <w:top w:w="80" w:type="dxa"/>
              <w:left w:w="120" w:type="dxa"/>
              <w:bottom w:w="80" w:type="dxa"/>
              <w:right w:w="120" w:type="dxa"/>
            </w:tcMar>
            <w:vAlign w:val="center"/>
          </w:tcPr>
          <w:p w14:paraId="4594493E">
            <w:pPr>
              <w:spacing w:before="0" w:after="0" w:line="259" w:lineRule="auto"/>
            </w:pPr>
            <w:r>
              <w:rPr>
                <w:rFonts w:ascii="Calibri" w:hAnsi="Calibri" w:eastAsia="STHeiti"/>
                <w:b w:val="0"/>
                <w:color w:val="172B4D"/>
                <w:sz w:val="16"/>
              </w:rPr>
              <w:t>start_time, end_time</w:t>
            </w:r>
          </w:p>
        </w:tc>
        <w:tc>
          <w:tcPr>
            <w:tcW w:w="2340" w:type="dxa"/>
            <w:tcMar>
              <w:top w:w="80" w:type="dxa"/>
              <w:left w:w="120" w:type="dxa"/>
              <w:bottom w:w="80" w:type="dxa"/>
              <w:right w:w="120" w:type="dxa"/>
            </w:tcMar>
            <w:vAlign w:val="center"/>
          </w:tcPr>
          <w:p w14:paraId="73CED064">
            <w:pPr>
              <w:spacing w:before="0" w:after="0" w:line="259" w:lineRule="auto"/>
            </w:pPr>
            <w:r>
              <w:rPr>
                <w:rFonts w:ascii="Calibri" w:hAnsi="Calibri" w:eastAsia="STHeiti"/>
                <w:b w:val="0"/>
                <w:color w:val="172B4D"/>
                <w:sz w:val="16"/>
              </w:rPr>
              <w:t>A/B 指标对比、uplift、p-value、实验结论。</w:t>
            </w:r>
          </w:p>
        </w:tc>
      </w:tr>
      <w:tr w14:paraId="43269E49">
        <w:tc>
          <w:tcPr>
            <w:tcW w:w="2340" w:type="dxa"/>
            <w:tcMar>
              <w:top w:w="80" w:type="dxa"/>
              <w:left w:w="120" w:type="dxa"/>
              <w:bottom w:w="80" w:type="dxa"/>
              <w:right w:w="120" w:type="dxa"/>
            </w:tcMar>
            <w:vAlign w:val="center"/>
          </w:tcPr>
          <w:p w14:paraId="7E82E6DC">
            <w:pPr>
              <w:spacing w:before="0" w:after="0" w:line="259" w:lineRule="auto"/>
              <w:jc w:val="center"/>
            </w:pPr>
            <w:r>
              <w:rPr>
                <w:rFonts w:ascii="Calibri" w:hAnsi="Calibri" w:eastAsia="STHeiti"/>
                <w:b w:val="0"/>
                <w:color w:val="172B4D"/>
                <w:sz w:val="16"/>
              </w:rPr>
              <w:t>/api/config</w:t>
            </w:r>
          </w:p>
        </w:tc>
        <w:tc>
          <w:tcPr>
            <w:tcW w:w="2340" w:type="dxa"/>
            <w:tcMar>
              <w:top w:w="80" w:type="dxa"/>
              <w:left w:w="120" w:type="dxa"/>
              <w:bottom w:w="80" w:type="dxa"/>
              <w:right w:w="120" w:type="dxa"/>
            </w:tcMar>
            <w:vAlign w:val="center"/>
          </w:tcPr>
          <w:p w14:paraId="76D4B452">
            <w:pPr>
              <w:spacing w:before="0" w:after="0" w:line="259" w:lineRule="auto"/>
              <w:jc w:val="center"/>
            </w:pPr>
            <w:r>
              <w:rPr>
                <w:rFonts w:ascii="Calibri" w:hAnsi="Calibri" w:eastAsia="STHeiti"/>
                <w:b w:val="0"/>
                <w:color w:val="172B4D"/>
                <w:sz w:val="16"/>
              </w:rPr>
              <w:t>GET/POST</w:t>
            </w:r>
          </w:p>
        </w:tc>
        <w:tc>
          <w:tcPr>
            <w:tcW w:w="2340" w:type="dxa"/>
            <w:tcMar>
              <w:top w:w="80" w:type="dxa"/>
              <w:left w:w="120" w:type="dxa"/>
              <w:bottom w:w="80" w:type="dxa"/>
              <w:right w:w="120" w:type="dxa"/>
            </w:tcMar>
            <w:vAlign w:val="center"/>
          </w:tcPr>
          <w:p w14:paraId="553D31DB">
            <w:pPr>
              <w:spacing w:before="0" w:after="0" w:line="259" w:lineRule="auto"/>
            </w:pPr>
            <w:r>
              <w:rPr>
                <w:rFonts w:ascii="Calibri" w:hAnsi="Calibri" w:eastAsia="STHeiti"/>
                <w:b w:val="0"/>
                <w:color w:val="172B4D"/>
                <w:sz w:val="16"/>
              </w:rPr>
              <w:t>traffic_split, alert_thresholds</w:t>
            </w:r>
          </w:p>
        </w:tc>
        <w:tc>
          <w:tcPr>
            <w:tcW w:w="2340" w:type="dxa"/>
            <w:tcMar>
              <w:top w:w="80" w:type="dxa"/>
              <w:left w:w="120" w:type="dxa"/>
              <w:bottom w:w="80" w:type="dxa"/>
              <w:right w:w="120" w:type="dxa"/>
            </w:tcMar>
            <w:vAlign w:val="center"/>
          </w:tcPr>
          <w:p w14:paraId="518D91FB">
            <w:pPr>
              <w:spacing w:before="0" w:after="0" w:line="259" w:lineRule="auto"/>
            </w:pPr>
            <w:r>
              <w:rPr>
                <w:rFonts w:ascii="Calibri" w:hAnsi="Calibri" w:eastAsia="STHeiti"/>
                <w:b w:val="0"/>
                <w:color w:val="172B4D"/>
                <w:sz w:val="16"/>
              </w:rPr>
              <w:t>读取或更新实验配置与预警阈值。</w:t>
            </w:r>
          </w:p>
        </w:tc>
      </w:tr>
    </w:tbl>
    <w:p w14:paraId="744FC9F2"/>
    <w:p w14:paraId="73F85614">
      <w:pPr>
        <w:pStyle w:val="3"/>
        <w:spacing w:before="320" w:after="120" w:line="264" w:lineRule="auto"/>
      </w:pPr>
      <w:r>
        <w:rPr>
          <w:rFonts w:ascii="Calibri" w:hAnsi="Calibri" w:eastAsia="STHeiti"/>
          <w:b/>
          <w:color w:val="2E74B5"/>
          <w:sz w:val="32"/>
        </w:rPr>
        <w:t>8. 实验评估规则</w:t>
      </w:r>
    </w:p>
    <w:p w14:paraId="3EA7AC25">
      <w:pPr>
        <w:spacing w:before="0" w:after="120" w:line="269" w:lineRule="auto"/>
      </w:pPr>
      <w:r>
        <w:rPr>
          <w:rFonts w:ascii="Calibri" w:hAnsi="Calibri" w:eastAsia="STHeiti"/>
          <w:color w:val="172B4D"/>
          <w:sz w:val="21"/>
        </w:rPr>
        <w:t>实验评估模块的产品目标是把统计检验结果翻译成业务可读的行动建议。第一版使用购买转化率作为主指标，以 A 组为对照组，B 组为实验组。</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0AFDFA36">
        <w:tc>
          <w:tcPr>
            <w:tcW w:w="1728" w:type="dxa"/>
            <w:shd w:val="clear" w:color="auto" w:fill="F2F4F7"/>
            <w:tcMar>
              <w:top w:w="80" w:type="dxa"/>
              <w:left w:w="120" w:type="dxa"/>
              <w:bottom w:w="80" w:type="dxa"/>
              <w:right w:w="120" w:type="dxa"/>
            </w:tcMar>
            <w:vAlign w:val="center"/>
          </w:tcPr>
          <w:p w14:paraId="3BDE1083">
            <w:pPr>
              <w:spacing w:before="0" w:after="0" w:line="259" w:lineRule="auto"/>
              <w:jc w:val="center"/>
            </w:pPr>
            <w:r>
              <w:rPr>
                <w:rFonts w:ascii="Calibri" w:hAnsi="Calibri" w:eastAsia="STHeiti"/>
                <w:b/>
                <w:color w:val="172B4D"/>
                <w:sz w:val="18"/>
              </w:rPr>
              <w:t>结论类型</w:t>
            </w:r>
          </w:p>
        </w:tc>
        <w:tc>
          <w:tcPr>
            <w:tcW w:w="3816" w:type="dxa"/>
            <w:shd w:val="clear" w:color="auto" w:fill="F2F4F7"/>
            <w:tcMar>
              <w:top w:w="80" w:type="dxa"/>
              <w:left w:w="120" w:type="dxa"/>
              <w:bottom w:w="80" w:type="dxa"/>
              <w:right w:w="120" w:type="dxa"/>
            </w:tcMar>
            <w:vAlign w:val="center"/>
          </w:tcPr>
          <w:p w14:paraId="78B12D31">
            <w:pPr>
              <w:spacing w:before="0" w:after="0" w:line="259" w:lineRule="auto"/>
              <w:jc w:val="center"/>
            </w:pPr>
            <w:r>
              <w:rPr>
                <w:rFonts w:ascii="Calibri" w:hAnsi="Calibri" w:eastAsia="STHeiti"/>
                <w:b/>
                <w:color w:val="172B4D"/>
                <w:sz w:val="18"/>
              </w:rPr>
              <w:t>触发条件</w:t>
            </w:r>
          </w:p>
        </w:tc>
        <w:tc>
          <w:tcPr>
            <w:tcW w:w="3816" w:type="dxa"/>
            <w:shd w:val="clear" w:color="auto" w:fill="F2F4F7"/>
            <w:tcMar>
              <w:top w:w="80" w:type="dxa"/>
              <w:left w:w="120" w:type="dxa"/>
              <w:bottom w:w="80" w:type="dxa"/>
              <w:right w:w="120" w:type="dxa"/>
            </w:tcMar>
            <w:vAlign w:val="center"/>
          </w:tcPr>
          <w:p w14:paraId="4B2F5C54">
            <w:pPr>
              <w:spacing w:before="0" w:after="0" w:line="259" w:lineRule="auto"/>
              <w:jc w:val="center"/>
            </w:pPr>
            <w:r>
              <w:rPr>
                <w:rFonts w:ascii="Calibri" w:hAnsi="Calibri" w:eastAsia="STHeiti"/>
                <w:b/>
                <w:color w:val="172B4D"/>
                <w:sz w:val="18"/>
              </w:rPr>
              <w:t>前端展示建议</w:t>
            </w:r>
          </w:p>
        </w:tc>
      </w:tr>
      <w:tr w14:paraId="7D0075ED">
        <w:tc>
          <w:tcPr>
            <w:tcW w:w="3120" w:type="dxa"/>
            <w:tcMar>
              <w:top w:w="80" w:type="dxa"/>
              <w:left w:w="120" w:type="dxa"/>
              <w:bottom w:w="80" w:type="dxa"/>
              <w:right w:w="120" w:type="dxa"/>
            </w:tcMar>
            <w:vAlign w:val="center"/>
          </w:tcPr>
          <w:p w14:paraId="62AC43E3">
            <w:pPr>
              <w:spacing w:before="0" w:after="0" w:line="259" w:lineRule="auto"/>
              <w:jc w:val="center"/>
            </w:pPr>
            <w:r>
              <w:rPr>
                <w:rFonts w:ascii="Calibri" w:hAnsi="Calibri" w:eastAsia="STHeiti"/>
                <w:b w:val="0"/>
                <w:color w:val="172B4D"/>
                <w:sz w:val="17"/>
              </w:rPr>
              <w:t>样本量不足</w:t>
            </w:r>
          </w:p>
        </w:tc>
        <w:tc>
          <w:tcPr>
            <w:tcW w:w="3120" w:type="dxa"/>
            <w:tcMar>
              <w:top w:w="80" w:type="dxa"/>
              <w:left w:w="120" w:type="dxa"/>
              <w:bottom w:w="80" w:type="dxa"/>
              <w:right w:w="120" w:type="dxa"/>
            </w:tcMar>
            <w:vAlign w:val="center"/>
          </w:tcPr>
          <w:p w14:paraId="275C401E">
            <w:pPr>
              <w:spacing w:before="0" w:after="0" w:line="259" w:lineRule="auto"/>
            </w:pPr>
            <w:r>
              <w:rPr>
                <w:rFonts w:ascii="Calibri" w:hAnsi="Calibri" w:eastAsia="STHeiti"/>
                <w:b w:val="0"/>
                <w:color w:val="172B4D"/>
                <w:sz w:val="17"/>
              </w:rPr>
              <w:t>A 组或 B 组点击人数低于最小样本阈值。</w:t>
            </w:r>
          </w:p>
        </w:tc>
        <w:tc>
          <w:tcPr>
            <w:tcW w:w="3120" w:type="dxa"/>
            <w:tcMar>
              <w:top w:w="80" w:type="dxa"/>
              <w:left w:w="120" w:type="dxa"/>
              <w:bottom w:w="80" w:type="dxa"/>
              <w:right w:w="120" w:type="dxa"/>
            </w:tcMar>
            <w:vAlign w:val="center"/>
          </w:tcPr>
          <w:p w14:paraId="1B61AD93">
            <w:pPr>
              <w:spacing w:before="0" w:after="0" w:line="259" w:lineRule="auto"/>
            </w:pPr>
            <w:r>
              <w:rPr>
                <w:rFonts w:ascii="Calibri" w:hAnsi="Calibri" w:eastAsia="STHeiti"/>
                <w:b w:val="0"/>
                <w:color w:val="172B4D"/>
                <w:sz w:val="17"/>
              </w:rPr>
              <w:t>提示继续观察，不给出上线建议。</w:t>
            </w:r>
          </w:p>
        </w:tc>
      </w:tr>
      <w:tr w14:paraId="1F405DB7">
        <w:tc>
          <w:tcPr>
            <w:tcW w:w="3120" w:type="dxa"/>
            <w:tcMar>
              <w:top w:w="80" w:type="dxa"/>
              <w:left w:w="120" w:type="dxa"/>
              <w:bottom w:w="80" w:type="dxa"/>
              <w:right w:w="120" w:type="dxa"/>
            </w:tcMar>
            <w:vAlign w:val="center"/>
          </w:tcPr>
          <w:p w14:paraId="1B8E119E">
            <w:pPr>
              <w:spacing w:before="0" w:after="0" w:line="259" w:lineRule="auto"/>
              <w:jc w:val="center"/>
            </w:pPr>
            <w:r>
              <w:rPr>
                <w:rFonts w:ascii="Calibri" w:hAnsi="Calibri" w:eastAsia="STHeiti"/>
                <w:b w:val="0"/>
                <w:color w:val="172B4D"/>
                <w:sz w:val="17"/>
              </w:rPr>
              <w:t>显著优于</w:t>
            </w:r>
          </w:p>
        </w:tc>
        <w:tc>
          <w:tcPr>
            <w:tcW w:w="3120" w:type="dxa"/>
            <w:tcMar>
              <w:top w:w="80" w:type="dxa"/>
              <w:left w:w="120" w:type="dxa"/>
              <w:bottom w:w="80" w:type="dxa"/>
              <w:right w:w="120" w:type="dxa"/>
            </w:tcMar>
            <w:vAlign w:val="center"/>
          </w:tcPr>
          <w:p w14:paraId="75DFB8BF">
            <w:pPr>
              <w:spacing w:before="0" w:after="0" w:line="259" w:lineRule="auto"/>
            </w:pPr>
            <w:r>
              <w:rPr>
                <w:rFonts w:ascii="Calibri" w:hAnsi="Calibri" w:eastAsia="STHeiti"/>
                <w:b w:val="0"/>
                <w:color w:val="172B4D"/>
                <w:sz w:val="17"/>
              </w:rPr>
              <w:t>p-value &lt; 0.05 且 B 组购买转化率高于 A 组。</w:t>
            </w:r>
          </w:p>
        </w:tc>
        <w:tc>
          <w:tcPr>
            <w:tcW w:w="3120" w:type="dxa"/>
            <w:tcMar>
              <w:top w:w="80" w:type="dxa"/>
              <w:left w:w="120" w:type="dxa"/>
              <w:bottom w:w="80" w:type="dxa"/>
              <w:right w:w="120" w:type="dxa"/>
            </w:tcMar>
            <w:vAlign w:val="center"/>
          </w:tcPr>
          <w:p w14:paraId="62FA5BAF">
            <w:pPr>
              <w:spacing w:before="0" w:after="0" w:line="259" w:lineRule="auto"/>
            </w:pPr>
            <w:r>
              <w:rPr>
                <w:rFonts w:ascii="Calibri" w:hAnsi="Calibri" w:eastAsia="STHeiti"/>
                <w:b w:val="0"/>
                <w:color w:val="172B4D"/>
                <w:sz w:val="17"/>
              </w:rPr>
              <w:t>提示实验组显著优于对照组，可考虑扩大流量或全量上线。</w:t>
            </w:r>
          </w:p>
        </w:tc>
      </w:tr>
      <w:tr w14:paraId="1C8222AA">
        <w:tc>
          <w:tcPr>
            <w:tcW w:w="3120" w:type="dxa"/>
            <w:tcMar>
              <w:top w:w="80" w:type="dxa"/>
              <w:left w:w="120" w:type="dxa"/>
              <w:bottom w:w="80" w:type="dxa"/>
              <w:right w:w="120" w:type="dxa"/>
            </w:tcMar>
            <w:vAlign w:val="center"/>
          </w:tcPr>
          <w:p w14:paraId="000A3944">
            <w:pPr>
              <w:spacing w:before="0" w:after="0" w:line="259" w:lineRule="auto"/>
              <w:jc w:val="center"/>
            </w:pPr>
            <w:r>
              <w:rPr>
                <w:rFonts w:ascii="Calibri" w:hAnsi="Calibri" w:eastAsia="STHeiti"/>
                <w:b w:val="0"/>
                <w:color w:val="172B4D"/>
                <w:sz w:val="17"/>
              </w:rPr>
              <w:t>无显著差异</w:t>
            </w:r>
          </w:p>
        </w:tc>
        <w:tc>
          <w:tcPr>
            <w:tcW w:w="3120" w:type="dxa"/>
            <w:tcMar>
              <w:top w:w="80" w:type="dxa"/>
              <w:left w:w="120" w:type="dxa"/>
              <w:bottom w:w="80" w:type="dxa"/>
              <w:right w:w="120" w:type="dxa"/>
            </w:tcMar>
            <w:vAlign w:val="center"/>
          </w:tcPr>
          <w:p w14:paraId="484C9787">
            <w:pPr>
              <w:spacing w:before="0" w:after="0" w:line="259" w:lineRule="auto"/>
            </w:pPr>
            <w:r>
              <w:rPr>
                <w:rFonts w:ascii="Calibri" w:hAnsi="Calibri" w:eastAsia="STHeiti"/>
                <w:b w:val="0"/>
                <w:color w:val="172B4D"/>
                <w:sz w:val="17"/>
              </w:rPr>
              <w:t>p-value &gt;= 0.05。</w:t>
            </w:r>
          </w:p>
        </w:tc>
        <w:tc>
          <w:tcPr>
            <w:tcW w:w="3120" w:type="dxa"/>
            <w:tcMar>
              <w:top w:w="80" w:type="dxa"/>
              <w:left w:w="120" w:type="dxa"/>
              <w:bottom w:w="80" w:type="dxa"/>
              <w:right w:w="120" w:type="dxa"/>
            </w:tcMar>
            <w:vAlign w:val="center"/>
          </w:tcPr>
          <w:p w14:paraId="412383A6">
            <w:pPr>
              <w:spacing w:before="0" w:after="0" w:line="259" w:lineRule="auto"/>
            </w:pPr>
            <w:r>
              <w:rPr>
                <w:rFonts w:ascii="Calibri" w:hAnsi="Calibri" w:eastAsia="STHeiti"/>
                <w:b w:val="0"/>
                <w:color w:val="172B4D"/>
                <w:sz w:val="17"/>
              </w:rPr>
              <w:t>提示当前数据不足以证明实验组优于对照组，建议继续观察或复盘策略。</w:t>
            </w:r>
          </w:p>
        </w:tc>
      </w:tr>
      <w:tr w14:paraId="50B5544F">
        <w:tc>
          <w:tcPr>
            <w:tcW w:w="3120" w:type="dxa"/>
            <w:tcMar>
              <w:top w:w="80" w:type="dxa"/>
              <w:left w:w="120" w:type="dxa"/>
              <w:bottom w:w="80" w:type="dxa"/>
              <w:right w:w="120" w:type="dxa"/>
            </w:tcMar>
            <w:vAlign w:val="center"/>
          </w:tcPr>
          <w:p w14:paraId="65C68E41">
            <w:pPr>
              <w:spacing w:before="0" w:after="0" w:line="259" w:lineRule="auto"/>
              <w:jc w:val="center"/>
            </w:pPr>
            <w:r>
              <w:rPr>
                <w:rFonts w:ascii="Calibri" w:hAnsi="Calibri" w:eastAsia="STHeiti"/>
                <w:b w:val="0"/>
                <w:color w:val="172B4D"/>
                <w:sz w:val="17"/>
              </w:rPr>
              <w:t>显著低于</w:t>
            </w:r>
          </w:p>
        </w:tc>
        <w:tc>
          <w:tcPr>
            <w:tcW w:w="3120" w:type="dxa"/>
            <w:tcMar>
              <w:top w:w="80" w:type="dxa"/>
              <w:left w:w="120" w:type="dxa"/>
              <w:bottom w:w="80" w:type="dxa"/>
              <w:right w:w="120" w:type="dxa"/>
            </w:tcMar>
            <w:vAlign w:val="center"/>
          </w:tcPr>
          <w:p w14:paraId="5A6F8F02">
            <w:pPr>
              <w:spacing w:before="0" w:after="0" w:line="259" w:lineRule="auto"/>
            </w:pPr>
            <w:r>
              <w:rPr>
                <w:rFonts w:ascii="Calibri" w:hAnsi="Calibri" w:eastAsia="STHeiti"/>
                <w:b w:val="0"/>
                <w:color w:val="172B4D"/>
                <w:sz w:val="17"/>
              </w:rPr>
              <w:t>p-value &lt; 0.05 且 B 组购买转化率低于 A 组。</w:t>
            </w:r>
          </w:p>
        </w:tc>
        <w:tc>
          <w:tcPr>
            <w:tcW w:w="3120" w:type="dxa"/>
            <w:tcMar>
              <w:top w:w="80" w:type="dxa"/>
              <w:left w:w="120" w:type="dxa"/>
              <w:bottom w:w="80" w:type="dxa"/>
              <w:right w:w="120" w:type="dxa"/>
            </w:tcMar>
            <w:vAlign w:val="center"/>
          </w:tcPr>
          <w:p w14:paraId="21DE6843">
            <w:pPr>
              <w:spacing w:before="0" w:after="0" w:line="259" w:lineRule="auto"/>
            </w:pPr>
            <w:r>
              <w:rPr>
                <w:rFonts w:ascii="Calibri" w:hAnsi="Calibri" w:eastAsia="STHeiti"/>
                <w:b w:val="0"/>
                <w:color w:val="172B4D"/>
                <w:sz w:val="17"/>
              </w:rPr>
              <w:t>提示实验组存在负向影响，应暂停实验并排查原因。</w:t>
            </w:r>
          </w:p>
        </w:tc>
      </w:tr>
    </w:tbl>
    <w:p w14:paraId="44AEB637"/>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0"/>
      </w:tblGrid>
      <w:tr w14:paraId="42E5B606">
        <w:tc>
          <w:tcPr>
            <w:tcW w:w="9360" w:type="dxa"/>
            <w:shd w:val="clear" w:color="auto" w:fill="E8EEF5"/>
            <w:tcMar>
              <w:top w:w="140" w:type="dxa"/>
              <w:left w:w="160" w:type="dxa"/>
              <w:bottom w:w="140" w:type="dxa"/>
              <w:right w:w="160" w:type="dxa"/>
            </w:tcMar>
          </w:tcPr>
          <w:p w14:paraId="458F1EB3">
            <w:pPr>
              <w:spacing w:before="0" w:after="40" w:line="264" w:lineRule="auto"/>
            </w:pPr>
            <w:r>
              <w:rPr>
                <w:rFonts w:ascii="Calibri" w:hAnsi="Calibri" w:eastAsia="STHeiti"/>
                <w:b/>
                <w:color w:val="172B4D"/>
                <w:sz w:val="21"/>
              </w:rPr>
              <w:t>PM 解释口径</w:t>
            </w:r>
          </w:p>
          <w:p w14:paraId="50CF4980">
            <w:pPr>
              <w:spacing w:before="0" w:after="0" w:line="269" w:lineRule="auto"/>
            </w:pPr>
            <w:r>
              <w:rPr>
                <w:rFonts w:ascii="Calibri" w:hAnsi="Calibri" w:eastAsia="STHeiti"/>
                <w:color w:val="172B4D"/>
                <w:sz w:val="20"/>
              </w:rPr>
              <w:t>p-value 只回答“差异是否可能来自随机波动”，不直接回答“业务收益是否足够大”。最终上线判断需要同时看显著性、uplift、GMV 影响、样本量和策略风险。</w:t>
            </w:r>
          </w:p>
        </w:tc>
      </w:tr>
    </w:tbl>
    <w:p w14:paraId="0E68DD86"/>
    <w:p w14:paraId="6117E667">
      <w:pPr>
        <w:pStyle w:val="3"/>
        <w:spacing w:before="320" w:after="120" w:line="264" w:lineRule="auto"/>
      </w:pPr>
      <w:r>
        <w:rPr>
          <w:rFonts w:ascii="Calibri" w:hAnsi="Calibri" w:eastAsia="STHeiti"/>
          <w:b/>
          <w:color w:val="2E74B5"/>
          <w:sz w:val="32"/>
        </w:rPr>
        <w:t>9. 交互与页面说明</w:t>
      </w:r>
    </w:p>
    <w:p w14:paraId="11DA5C5F">
      <w:pPr>
        <w:pStyle w:val="16"/>
        <w:spacing w:before="0" w:after="80" w:line="269" w:lineRule="auto"/>
      </w:pPr>
      <w:r>
        <w:rPr>
          <w:rFonts w:ascii="Calibri" w:hAnsi="Calibri" w:eastAsia="STHeiti"/>
          <w:color w:val="172B4D"/>
          <w:sz w:val="21"/>
        </w:rPr>
        <w:t>用户进入页面后，默认看到最近 24 小时整体经营概览。</w:t>
      </w:r>
    </w:p>
    <w:p w14:paraId="3F2B79D1">
      <w:pPr>
        <w:pStyle w:val="16"/>
        <w:spacing w:before="0" w:after="80" w:line="269" w:lineRule="auto"/>
      </w:pPr>
      <w:r>
        <w:rPr>
          <w:rFonts w:ascii="Calibri" w:hAnsi="Calibri" w:eastAsia="STHeiti"/>
          <w:color w:val="172B4D"/>
          <w:sz w:val="21"/>
        </w:rPr>
        <w:t>顶部筛选区包含时间范围、时间粒度、实验组、归因模型和自动刷新开关。</w:t>
      </w:r>
    </w:p>
    <w:p w14:paraId="3D8568CD">
      <w:pPr>
        <w:pStyle w:val="16"/>
        <w:spacing w:before="0" w:after="80" w:line="269" w:lineRule="auto"/>
      </w:pPr>
      <w:r>
        <w:rPr>
          <w:rFonts w:ascii="Calibri" w:hAnsi="Calibri" w:eastAsia="STHeiti"/>
          <w:color w:val="172B4D"/>
          <w:sz w:val="21"/>
        </w:rPr>
        <w:t>切换实验组后，概览卡片、趋势图、漏斗图和实验对比模块同步刷新。</w:t>
      </w:r>
    </w:p>
    <w:p w14:paraId="4D348882">
      <w:pPr>
        <w:pStyle w:val="16"/>
        <w:spacing w:before="0" w:after="80" w:line="269" w:lineRule="auto"/>
      </w:pPr>
      <w:r>
        <w:rPr>
          <w:rFonts w:ascii="Calibri" w:hAnsi="Calibri" w:eastAsia="STHeiti"/>
          <w:color w:val="172B4D"/>
          <w:sz w:val="21"/>
        </w:rPr>
        <w:t>切换归因模型后，渠道贡献图重新计算，页面保留当前时间范围。</w:t>
      </w:r>
    </w:p>
    <w:p w14:paraId="6943574D">
      <w:pPr>
        <w:pStyle w:val="16"/>
        <w:spacing w:before="0" w:after="80" w:line="269" w:lineRule="auto"/>
      </w:pPr>
      <w:r>
        <w:rPr>
          <w:rFonts w:ascii="Calibri" w:hAnsi="Calibri" w:eastAsia="STHeiti"/>
          <w:color w:val="172B4D"/>
          <w:sz w:val="21"/>
        </w:rPr>
        <w:t>策略配置保存后，预警阈值立即影响概览卡片的状态展示。</w:t>
      </w:r>
    </w:p>
    <w:p w14:paraId="10CDD0EE">
      <w:pPr>
        <w:pStyle w:val="4"/>
        <w:spacing w:before="200" w:after="120" w:line="264" w:lineRule="auto"/>
      </w:pPr>
      <w:r>
        <w:rPr>
          <w:rFonts w:ascii="Calibri" w:hAnsi="Calibri" w:eastAsia="STHeiti"/>
          <w:b/>
          <w:color w:val="2E74B5"/>
          <w:sz w:val="26"/>
        </w:rPr>
        <w:t>9.1 页面信息架构</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3BC7F3FC">
        <w:tc>
          <w:tcPr>
            <w:tcW w:w="1728" w:type="dxa"/>
            <w:shd w:val="clear" w:color="auto" w:fill="F2F4F7"/>
            <w:tcMar>
              <w:top w:w="80" w:type="dxa"/>
              <w:left w:w="120" w:type="dxa"/>
              <w:bottom w:w="80" w:type="dxa"/>
              <w:right w:w="120" w:type="dxa"/>
            </w:tcMar>
            <w:vAlign w:val="center"/>
          </w:tcPr>
          <w:p w14:paraId="4D1FD137">
            <w:pPr>
              <w:spacing w:before="0" w:after="0" w:line="259" w:lineRule="auto"/>
              <w:jc w:val="center"/>
            </w:pPr>
            <w:r>
              <w:rPr>
                <w:rFonts w:ascii="Calibri" w:hAnsi="Calibri" w:eastAsia="STHeiti"/>
                <w:b/>
                <w:color w:val="172B4D"/>
                <w:sz w:val="18"/>
              </w:rPr>
              <w:t>区域</w:t>
            </w:r>
          </w:p>
        </w:tc>
        <w:tc>
          <w:tcPr>
            <w:tcW w:w="3816" w:type="dxa"/>
            <w:shd w:val="clear" w:color="auto" w:fill="F2F4F7"/>
            <w:tcMar>
              <w:top w:w="80" w:type="dxa"/>
              <w:left w:w="120" w:type="dxa"/>
              <w:bottom w:w="80" w:type="dxa"/>
              <w:right w:w="120" w:type="dxa"/>
            </w:tcMar>
            <w:vAlign w:val="center"/>
          </w:tcPr>
          <w:p w14:paraId="7CF6E18D">
            <w:pPr>
              <w:spacing w:before="0" w:after="0" w:line="259" w:lineRule="auto"/>
              <w:jc w:val="center"/>
            </w:pPr>
            <w:r>
              <w:rPr>
                <w:rFonts w:ascii="Calibri" w:hAnsi="Calibri" w:eastAsia="STHeiti"/>
                <w:b/>
                <w:color w:val="172B4D"/>
                <w:sz w:val="18"/>
              </w:rPr>
              <w:t>内容</w:t>
            </w:r>
          </w:p>
        </w:tc>
        <w:tc>
          <w:tcPr>
            <w:tcW w:w="3816" w:type="dxa"/>
            <w:shd w:val="clear" w:color="auto" w:fill="F2F4F7"/>
            <w:tcMar>
              <w:top w:w="80" w:type="dxa"/>
              <w:left w:w="120" w:type="dxa"/>
              <w:bottom w:w="80" w:type="dxa"/>
              <w:right w:w="120" w:type="dxa"/>
            </w:tcMar>
            <w:vAlign w:val="center"/>
          </w:tcPr>
          <w:p w14:paraId="72E7A92B">
            <w:pPr>
              <w:spacing w:before="0" w:after="0" w:line="259" w:lineRule="auto"/>
              <w:jc w:val="center"/>
            </w:pPr>
            <w:r>
              <w:rPr>
                <w:rFonts w:ascii="Calibri" w:hAnsi="Calibri" w:eastAsia="STHeiti"/>
                <w:b/>
                <w:color w:val="172B4D"/>
                <w:sz w:val="18"/>
              </w:rPr>
              <w:t>设计重点</w:t>
            </w:r>
          </w:p>
        </w:tc>
      </w:tr>
      <w:tr w14:paraId="6F9B1B60">
        <w:tc>
          <w:tcPr>
            <w:tcW w:w="3120" w:type="dxa"/>
            <w:tcMar>
              <w:top w:w="80" w:type="dxa"/>
              <w:left w:w="120" w:type="dxa"/>
              <w:bottom w:w="80" w:type="dxa"/>
              <w:right w:w="120" w:type="dxa"/>
            </w:tcMar>
            <w:vAlign w:val="center"/>
          </w:tcPr>
          <w:p w14:paraId="60333FCE">
            <w:pPr>
              <w:spacing w:before="0" w:after="0" w:line="259" w:lineRule="auto"/>
              <w:jc w:val="center"/>
            </w:pPr>
            <w:r>
              <w:rPr>
                <w:rFonts w:ascii="Calibri" w:hAnsi="Calibri" w:eastAsia="STHeiti"/>
                <w:b w:val="0"/>
                <w:color w:val="172B4D"/>
                <w:sz w:val="17"/>
              </w:rPr>
              <w:t>顶部筛选区</w:t>
            </w:r>
          </w:p>
        </w:tc>
        <w:tc>
          <w:tcPr>
            <w:tcW w:w="3120" w:type="dxa"/>
            <w:tcMar>
              <w:top w:w="80" w:type="dxa"/>
              <w:left w:w="120" w:type="dxa"/>
              <w:bottom w:w="80" w:type="dxa"/>
              <w:right w:w="120" w:type="dxa"/>
            </w:tcMar>
            <w:vAlign w:val="center"/>
          </w:tcPr>
          <w:p w14:paraId="6A6D71A2">
            <w:pPr>
              <w:spacing w:before="0" w:after="0" w:line="259" w:lineRule="auto"/>
            </w:pPr>
            <w:r>
              <w:rPr>
                <w:rFonts w:ascii="Calibri" w:hAnsi="Calibri" w:eastAsia="STHeiti"/>
                <w:b w:val="0"/>
                <w:color w:val="172B4D"/>
                <w:sz w:val="17"/>
              </w:rPr>
              <w:t>时间范围、粒度、实验组、归因模型、自动刷新。</w:t>
            </w:r>
          </w:p>
        </w:tc>
        <w:tc>
          <w:tcPr>
            <w:tcW w:w="3120" w:type="dxa"/>
            <w:tcMar>
              <w:top w:w="80" w:type="dxa"/>
              <w:left w:w="120" w:type="dxa"/>
              <w:bottom w:w="80" w:type="dxa"/>
              <w:right w:w="120" w:type="dxa"/>
            </w:tcMar>
            <w:vAlign w:val="center"/>
          </w:tcPr>
          <w:p w14:paraId="00769EB7">
            <w:pPr>
              <w:spacing w:before="0" w:after="0" w:line="259" w:lineRule="auto"/>
            </w:pPr>
            <w:r>
              <w:rPr>
                <w:rFonts w:ascii="Calibri" w:hAnsi="Calibri" w:eastAsia="STHeiti"/>
                <w:b w:val="0"/>
                <w:color w:val="172B4D"/>
                <w:sz w:val="17"/>
              </w:rPr>
              <w:t>所有分析模块共用筛选条件，减少理解成本。</w:t>
            </w:r>
          </w:p>
        </w:tc>
      </w:tr>
      <w:tr w14:paraId="6905CE2A">
        <w:tc>
          <w:tcPr>
            <w:tcW w:w="3120" w:type="dxa"/>
            <w:tcMar>
              <w:top w:w="80" w:type="dxa"/>
              <w:left w:w="120" w:type="dxa"/>
              <w:bottom w:w="80" w:type="dxa"/>
              <w:right w:w="120" w:type="dxa"/>
            </w:tcMar>
            <w:vAlign w:val="center"/>
          </w:tcPr>
          <w:p w14:paraId="35048459">
            <w:pPr>
              <w:spacing w:before="0" w:after="0" w:line="259" w:lineRule="auto"/>
              <w:jc w:val="center"/>
            </w:pPr>
            <w:r>
              <w:rPr>
                <w:rFonts w:ascii="Calibri" w:hAnsi="Calibri" w:eastAsia="STHeiti"/>
                <w:b w:val="0"/>
                <w:color w:val="172B4D"/>
                <w:sz w:val="17"/>
              </w:rPr>
              <w:t>概览区</w:t>
            </w:r>
          </w:p>
        </w:tc>
        <w:tc>
          <w:tcPr>
            <w:tcW w:w="3120" w:type="dxa"/>
            <w:tcMar>
              <w:top w:w="80" w:type="dxa"/>
              <w:left w:w="120" w:type="dxa"/>
              <w:bottom w:w="80" w:type="dxa"/>
              <w:right w:w="120" w:type="dxa"/>
            </w:tcMar>
            <w:vAlign w:val="center"/>
          </w:tcPr>
          <w:p w14:paraId="3104DFD6">
            <w:pPr>
              <w:spacing w:before="0" w:after="0" w:line="259" w:lineRule="auto"/>
            </w:pPr>
            <w:r>
              <w:rPr>
                <w:rFonts w:ascii="Calibri" w:hAnsi="Calibri" w:eastAsia="STHeiti"/>
                <w:b w:val="0"/>
                <w:color w:val="172B4D"/>
                <w:sz w:val="17"/>
              </w:rPr>
              <w:t>DAU、GMV、转化率、AOV 卡片与趋势图。</w:t>
            </w:r>
          </w:p>
        </w:tc>
        <w:tc>
          <w:tcPr>
            <w:tcW w:w="3120" w:type="dxa"/>
            <w:tcMar>
              <w:top w:w="80" w:type="dxa"/>
              <w:left w:w="120" w:type="dxa"/>
              <w:bottom w:w="80" w:type="dxa"/>
              <w:right w:w="120" w:type="dxa"/>
            </w:tcMar>
            <w:vAlign w:val="center"/>
          </w:tcPr>
          <w:p w14:paraId="55F94E08">
            <w:pPr>
              <w:spacing w:before="0" w:after="0" w:line="259" w:lineRule="auto"/>
              <w:jc w:val="center"/>
            </w:pPr>
            <w:r>
              <w:rPr>
                <w:rFonts w:ascii="Calibri" w:hAnsi="Calibri" w:eastAsia="STHeiti"/>
                <w:b w:val="0"/>
                <w:color w:val="172B4D"/>
                <w:sz w:val="17"/>
              </w:rPr>
              <w:t>先回答业务是否健康。</w:t>
            </w:r>
          </w:p>
        </w:tc>
      </w:tr>
      <w:tr w14:paraId="37D115D4">
        <w:tc>
          <w:tcPr>
            <w:tcW w:w="3120" w:type="dxa"/>
            <w:tcMar>
              <w:top w:w="80" w:type="dxa"/>
              <w:left w:w="120" w:type="dxa"/>
              <w:bottom w:w="80" w:type="dxa"/>
              <w:right w:w="120" w:type="dxa"/>
            </w:tcMar>
            <w:vAlign w:val="center"/>
          </w:tcPr>
          <w:p w14:paraId="660AFEAF">
            <w:pPr>
              <w:spacing w:before="0" w:after="0" w:line="259" w:lineRule="auto"/>
              <w:jc w:val="center"/>
            </w:pPr>
            <w:r>
              <w:rPr>
                <w:rFonts w:ascii="Calibri" w:hAnsi="Calibri" w:eastAsia="STHeiti"/>
                <w:b w:val="0"/>
                <w:color w:val="172B4D"/>
                <w:sz w:val="17"/>
              </w:rPr>
              <w:t>诊断区</w:t>
            </w:r>
          </w:p>
        </w:tc>
        <w:tc>
          <w:tcPr>
            <w:tcW w:w="3120" w:type="dxa"/>
            <w:tcMar>
              <w:top w:w="80" w:type="dxa"/>
              <w:left w:w="120" w:type="dxa"/>
              <w:bottom w:w="80" w:type="dxa"/>
              <w:right w:w="120" w:type="dxa"/>
            </w:tcMar>
            <w:vAlign w:val="center"/>
          </w:tcPr>
          <w:p w14:paraId="6604D262">
            <w:pPr>
              <w:spacing w:before="0" w:after="0" w:line="259" w:lineRule="auto"/>
              <w:jc w:val="center"/>
            </w:pPr>
            <w:r>
              <w:rPr>
                <w:rFonts w:ascii="Calibri" w:hAnsi="Calibri" w:eastAsia="STHeiti"/>
                <w:b w:val="0"/>
                <w:color w:val="172B4D"/>
                <w:sz w:val="17"/>
              </w:rPr>
              <w:t>漏斗分析、渠道归因。</w:t>
            </w:r>
          </w:p>
        </w:tc>
        <w:tc>
          <w:tcPr>
            <w:tcW w:w="3120" w:type="dxa"/>
            <w:tcMar>
              <w:top w:w="80" w:type="dxa"/>
              <w:left w:w="120" w:type="dxa"/>
              <w:bottom w:w="80" w:type="dxa"/>
              <w:right w:w="120" w:type="dxa"/>
            </w:tcMar>
            <w:vAlign w:val="center"/>
          </w:tcPr>
          <w:p w14:paraId="5F91E0B6">
            <w:pPr>
              <w:spacing w:before="0" w:after="0" w:line="259" w:lineRule="auto"/>
              <w:jc w:val="center"/>
            </w:pPr>
            <w:r>
              <w:rPr>
                <w:rFonts w:ascii="Calibri" w:hAnsi="Calibri" w:eastAsia="STHeiti"/>
                <w:b w:val="0"/>
                <w:color w:val="172B4D"/>
                <w:sz w:val="17"/>
              </w:rPr>
              <w:t>再回答哪里出现变化。</w:t>
            </w:r>
          </w:p>
        </w:tc>
      </w:tr>
      <w:tr w14:paraId="166B83EC">
        <w:tc>
          <w:tcPr>
            <w:tcW w:w="3120" w:type="dxa"/>
            <w:tcMar>
              <w:top w:w="80" w:type="dxa"/>
              <w:left w:w="120" w:type="dxa"/>
              <w:bottom w:w="80" w:type="dxa"/>
              <w:right w:w="120" w:type="dxa"/>
            </w:tcMar>
            <w:vAlign w:val="center"/>
          </w:tcPr>
          <w:p w14:paraId="44778F70">
            <w:pPr>
              <w:spacing w:before="0" w:after="0" w:line="259" w:lineRule="auto"/>
              <w:jc w:val="center"/>
            </w:pPr>
            <w:r>
              <w:rPr>
                <w:rFonts w:ascii="Calibri" w:hAnsi="Calibri" w:eastAsia="STHeiti"/>
                <w:b w:val="0"/>
                <w:color w:val="172B4D"/>
                <w:sz w:val="17"/>
              </w:rPr>
              <w:t>决策区</w:t>
            </w:r>
          </w:p>
        </w:tc>
        <w:tc>
          <w:tcPr>
            <w:tcW w:w="3120" w:type="dxa"/>
            <w:tcMar>
              <w:top w:w="80" w:type="dxa"/>
              <w:left w:w="120" w:type="dxa"/>
              <w:bottom w:w="80" w:type="dxa"/>
              <w:right w:w="120" w:type="dxa"/>
            </w:tcMar>
            <w:vAlign w:val="center"/>
          </w:tcPr>
          <w:p w14:paraId="5200998A">
            <w:pPr>
              <w:spacing w:before="0" w:after="0" w:line="259" w:lineRule="auto"/>
            </w:pPr>
            <w:r>
              <w:rPr>
                <w:rFonts w:ascii="Calibri" w:hAnsi="Calibri" w:eastAsia="STHeiti"/>
                <w:b w:val="0"/>
                <w:color w:val="172B4D"/>
                <w:sz w:val="17"/>
              </w:rPr>
              <w:t>A/B 实验评估、自动结论、策略配置。</w:t>
            </w:r>
          </w:p>
        </w:tc>
        <w:tc>
          <w:tcPr>
            <w:tcW w:w="3120" w:type="dxa"/>
            <w:tcMar>
              <w:top w:w="80" w:type="dxa"/>
              <w:left w:w="120" w:type="dxa"/>
              <w:bottom w:w="80" w:type="dxa"/>
              <w:right w:w="120" w:type="dxa"/>
            </w:tcMar>
            <w:vAlign w:val="center"/>
          </w:tcPr>
          <w:p w14:paraId="744441D1">
            <w:pPr>
              <w:spacing w:before="0" w:after="0" w:line="259" w:lineRule="auto"/>
            </w:pPr>
            <w:r>
              <w:rPr>
                <w:rFonts w:ascii="Calibri" w:hAnsi="Calibri" w:eastAsia="STHeiti"/>
                <w:b w:val="0"/>
                <w:color w:val="172B4D"/>
                <w:sz w:val="17"/>
              </w:rPr>
              <w:t>最后支持继续实验、停止实验或上线决策。</w:t>
            </w:r>
          </w:p>
        </w:tc>
      </w:tr>
    </w:tbl>
    <w:p w14:paraId="614DEA35"/>
    <w:p w14:paraId="330C9D3B">
      <w:pPr>
        <w:pStyle w:val="3"/>
        <w:spacing w:before="320" w:after="120" w:line="264" w:lineRule="auto"/>
      </w:pPr>
      <w:r>
        <w:rPr>
          <w:rFonts w:ascii="Calibri" w:hAnsi="Calibri" w:eastAsia="STHeiti"/>
          <w:b/>
          <w:color w:val="2E74B5"/>
          <w:sz w:val="32"/>
        </w:rPr>
        <w:t>10. 验收标准</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4CF32DF2">
        <w:tc>
          <w:tcPr>
            <w:tcW w:w="2088" w:type="dxa"/>
            <w:shd w:val="clear" w:color="auto" w:fill="F2F4F7"/>
            <w:tcMar>
              <w:top w:w="80" w:type="dxa"/>
              <w:left w:w="120" w:type="dxa"/>
              <w:bottom w:w="80" w:type="dxa"/>
              <w:right w:w="120" w:type="dxa"/>
            </w:tcMar>
            <w:vAlign w:val="center"/>
          </w:tcPr>
          <w:p w14:paraId="6949D338">
            <w:pPr>
              <w:spacing w:before="0" w:after="0" w:line="259" w:lineRule="auto"/>
              <w:jc w:val="center"/>
            </w:pPr>
            <w:r>
              <w:rPr>
                <w:rFonts w:ascii="Calibri" w:hAnsi="Calibri" w:eastAsia="STHeiti"/>
                <w:b/>
                <w:color w:val="172B4D"/>
                <w:sz w:val="18"/>
              </w:rPr>
              <w:t>验收类型</w:t>
            </w:r>
          </w:p>
        </w:tc>
        <w:tc>
          <w:tcPr>
            <w:tcW w:w="7272" w:type="dxa"/>
            <w:shd w:val="clear" w:color="auto" w:fill="F2F4F7"/>
            <w:tcMar>
              <w:top w:w="80" w:type="dxa"/>
              <w:left w:w="120" w:type="dxa"/>
              <w:bottom w:w="80" w:type="dxa"/>
              <w:right w:w="120" w:type="dxa"/>
            </w:tcMar>
            <w:vAlign w:val="center"/>
          </w:tcPr>
          <w:p w14:paraId="6CAA652F">
            <w:pPr>
              <w:spacing w:before="0" w:after="0" w:line="259" w:lineRule="auto"/>
              <w:jc w:val="center"/>
            </w:pPr>
            <w:r>
              <w:rPr>
                <w:rFonts w:ascii="Calibri" w:hAnsi="Calibri" w:eastAsia="STHeiti"/>
                <w:b/>
                <w:color w:val="172B4D"/>
                <w:sz w:val="18"/>
              </w:rPr>
              <w:t>验收标准</w:t>
            </w:r>
          </w:p>
        </w:tc>
      </w:tr>
      <w:tr w14:paraId="226D00E0">
        <w:tc>
          <w:tcPr>
            <w:tcW w:w="4680" w:type="dxa"/>
            <w:tcMar>
              <w:top w:w="80" w:type="dxa"/>
              <w:left w:w="120" w:type="dxa"/>
              <w:bottom w:w="80" w:type="dxa"/>
              <w:right w:w="120" w:type="dxa"/>
            </w:tcMar>
            <w:vAlign w:val="center"/>
          </w:tcPr>
          <w:p w14:paraId="7E6722D4">
            <w:pPr>
              <w:spacing w:before="0" w:after="0" w:line="259" w:lineRule="auto"/>
              <w:jc w:val="center"/>
            </w:pPr>
            <w:r>
              <w:rPr>
                <w:rFonts w:ascii="Calibri" w:hAnsi="Calibri" w:eastAsia="STHeiti"/>
                <w:b w:val="0"/>
                <w:color w:val="172B4D"/>
                <w:sz w:val="17"/>
              </w:rPr>
              <w:t>本地运行</w:t>
            </w:r>
          </w:p>
        </w:tc>
        <w:tc>
          <w:tcPr>
            <w:tcW w:w="4680" w:type="dxa"/>
            <w:tcMar>
              <w:top w:w="80" w:type="dxa"/>
              <w:left w:w="120" w:type="dxa"/>
              <w:bottom w:w="80" w:type="dxa"/>
              <w:right w:w="120" w:type="dxa"/>
            </w:tcMar>
            <w:vAlign w:val="center"/>
          </w:tcPr>
          <w:p w14:paraId="736ABA60">
            <w:pPr>
              <w:spacing w:before="0" w:after="0" w:line="259" w:lineRule="auto"/>
            </w:pPr>
            <w:r>
              <w:rPr>
                <w:rFonts w:ascii="Calibri" w:hAnsi="Calibri" w:eastAsia="STHeiti"/>
                <w:b w:val="0"/>
                <w:color w:val="172B4D"/>
                <w:sz w:val="17"/>
              </w:rPr>
              <w:t>FastAPI、Streamlit、数据模拟器均可通过 README 指令启动。</w:t>
            </w:r>
          </w:p>
        </w:tc>
      </w:tr>
      <w:tr w14:paraId="3472BA5F">
        <w:tc>
          <w:tcPr>
            <w:tcW w:w="4680" w:type="dxa"/>
            <w:tcMar>
              <w:top w:w="80" w:type="dxa"/>
              <w:left w:w="120" w:type="dxa"/>
              <w:bottom w:w="80" w:type="dxa"/>
              <w:right w:w="120" w:type="dxa"/>
            </w:tcMar>
            <w:vAlign w:val="center"/>
          </w:tcPr>
          <w:p w14:paraId="21FD9E92">
            <w:pPr>
              <w:spacing w:before="0" w:after="0" w:line="259" w:lineRule="auto"/>
              <w:jc w:val="center"/>
            </w:pPr>
            <w:r>
              <w:rPr>
                <w:rFonts w:ascii="Calibri" w:hAnsi="Calibri" w:eastAsia="STHeiti"/>
                <w:b w:val="0"/>
                <w:color w:val="172B4D"/>
                <w:sz w:val="17"/>
              </w:rPr>
              <w:t>数据模拟</w:t>
            </w:r>
          </w:p>
        </w:tc>
        <w:tc>
          <w:tcPr>
            <w:tcW w:w="4680" w:type="dxa"/>
            <w:tcMar>
              <w:top w:w="80" w:type="dxa"/>
              <w:left w:w="120" w:type="dxa"/>
              <w:bottom w:w="80" w:type="dxa"/>
              <w:right w:w="120" w:type="dxa"/>
            </w:tcMar>
            <w:vAlign w:val="center"/>
          </w:tcPr>
          <w:p w14:paraId="3C6D254F">
            <w:pPr>
              <w:spacing w:before="0" w:after="0" w:line="259" w:lineRule="auto"/>
            </w:pPr>
            <w:r>
              <w:rPr>
                <w:rFonts w:ascii="Calibri" w:hAnsi="Calibri" w:eastAsia="STHeiti"/>
                <w:b w:val="0"/>
                <w:color w:val="172B4D"/>
                <w:sz w:val="17"/>
              </w:rPr>
              <w:t>模拟器能持续写入 click、add_to_cart、buy 事件，并包含 user_id、experiment_group、channel、created_at。</w:t>
            </w:r>
          </w:p>
        </w:tc>
      </w:tr>
      <w:tr w14:paraId="3B3CB018">
        <w:tc>
          <w:tcPr>
            <w:tcW w:w="4680" w:type="dxa"/>
            <w:tcMar>
              <w:top w:w="80" w:type="dxa"/>
              <w:left w:w="120" w:type="dxa"/>
              <w:bottom w:w="80" w:type="dxa"/>
              <w:right w:w="120" w:type="dxa"/>
            </w:tcMar>
            <w:vAlign w:val="center"/>
          </w:tcPr>
          <w:p w14:paraId="2ED2DB3B">
            <w:pPr>
              <w:spacing w:before="0" w:after="0" w:line="259" w:lineRule="auto"/>
              <w:jc w:val="center"/>
            </w:pPr>
            <w:r>
              <w:rPr>
                <w:rFonts w:ascii="Calibri" w:hAnsi="Calibri" w:eastAsia="STHeiti"/>
                <w:b w:val="0"/>
                <w:color w:val="172B4D"/>
                <w:sz w:val="17"/>
              </w:rPr>
              <w:t>API 指标</w:t>
            </w:r>
          </w:p>
        </w:tc>
        <w:tc>
          <w:tcPr>
            <w:tcW w:w="4680" w:type="dxa"/>
            <w:tcMar>
              <w:top w:w="80" w:type="dxa"/>
              <w:left w:w="120" w:type="dxa"/>
              <w:bottom w:w="80" w:type="dxa"/>
              <w:right w:w="120" w:type="dxa"/>
            </w:tcMar>
            <w:vAlign w:val="center"/>
          </w:tcPr>
          <w:p w14:paraId="2848C6AC">
            <w:pPr>
              <w:spacing w:before="0" w:after="0" w:line="259" w:lineRule="auto"/>
            </w:pPr>
            <w:r>
              <w:rPr>
                <w:rFonts w:ascii="Calibri" w:hAnsi="Calibri" w:eastAsia="STHeiti"/>
                <w:b w:val="0"/>
                <w:color w:val="172B4D"/>
                <w:sz w:val="17"/>
              </w:rPr>
              <w:t>/api/metrics、/api/funnel、/api/experiment 能返回非空结果，字段命名稳定。</w:t>
            </w:r>
          </w:p>
        </w:tc>
      </w:tr>
      <w:tr w14:paraId="099F8EB1">
        <w:tc>
          <w:tcPr>
            <w:tcW w:w="4680" w:type="dxa"/>
            <w:tcMar>
              <w:top w:w="80" w:type="dxa"/>
              <w:left w:w="120" w:type="dxa"/>
              <w:bottom w:w="80" w:type="dxa"/>
              <w:right w:w="120" w:type="dxa"/>
            </w:tcMar>
            <w:vAlign w:val="center"/>
          </w:tcPr>
          <w:p w14:paraId="34023028">
            <w:pPr>
              <w:spacing w:before="0" w:after="0" w:line="259" w:lineRule="auto"/>
              <w:jc w:val="center"/>
            </w:pPr>
            <w:r>
              <w:rPr>
                <w:rFonts w:ascii="Calibri" w:hAnsi="Calibri" w:eastAsia="STHeiti"/>
                <w:b w:val="0"/>
                <w:color w:val="172B4D"/>
                <w:sz w:val="17"/>
              </w:rPr>
              <w:t>漏斗逻辑</w:t>
            </w:r>
          </w:p>
        </w:tc>
        <w:tc>
          <w:tcPr>
            <w:tcW w:w="4680" w:type="dxa"/>
            <w:tcMar>
              <w:top w:w="80" w:type="dxa"/>
              <w:left w:w="120" w:type="dxa"/>
              <w:bottom w:w="80" w:type="dxa"/>
              <w:right w:w="120" w:type="dxa"/>
            </w:tcMar>
            <w:vAlign w:val="center"/>
          </w:tcPr>
          <w:p w14:paraId="0475D523">
            <w:pPr>
              <w:spacing w:before="0" w:after="0" w:line="259" w:lineRule="auto"/>
            </w:pPr>
            <w:r>
              <w:rPr>
                <w:rFonts w:ascii="Calibri" w:hAnsi="Calibri" w:eastAsia="STHeiti"/>
                <w:b w:val="0"/>
                <w:color w:val="172B4D"/>
                <w:sz w:val="17"/>
              </w:rPr>
              <w:t>正常模拟数据下漏斗人数满足 click ≥ add_to_cart ≥ buy。</w:t>
            </w:r>
          </w:p>
        </w:tc>
      </w:tr>
      <w:tr w14:paraId="7624EF6A">
        <w:tc>
          <w:tcPr>
            <w:tcW w:w="4680" w:type="dxa"/>
            <w:tcMar>
              <w:top w:w="80" w:type="dxa"/>
              <w:left w:w="120" w:type="dxa"/>
              <w:bottom w:w="80" w:type="dxa"/>
              <w:right w:w="120" w:type="dxa"/>
            </w:tcMar>
            <w:vAlign w:val="center"/>
          </w:tcPr>
          <w:p w14:paraId="704A6127">
            <w:pPr>
              <w:spacing w:before="0" w:after="0" w:line="259" w:lineRule="auto"/>
              <w:jc w:val="center"/>
            </w:pPr>
            <w:r>
              <w:rPr>
                <w:rFonts w:ascii="Calibri" w:hAnsi="Calibri" w:eastAsia="STHeiti"/>
                <w:b w:val="0"/>
                <w:color w:val="172B4D"/>
                <w:sz w:val="17"/>
              </w:rPr>
              <w:t>实验评估</w:t>
            </w:r>
          </w:p>
        </w:tc>
        <w:tc>
          <w:tcPr>
            <w:tcW w:w="4680" w:type="dxa"/>
            <w:tcMar>
              <w:top w:w="80" w:type="dxa"/>
              <w:left w:w="120" w:type="dxa"/>
              <w:bottom w:w="80" w:type="dxa"/>
              <w:right w:w="120" w:type="dxa"/>
            </w:tcMar>
            <w:vAlign w:val="center"/>
          </w:tcPr>
          <w:p w14:paraId="3AAF8ED2">
            <w:pPr>
              <w:spacing w:before="0" w:after="0" w:line="259" w:lineRule="auto"/>
            </w:pPr>
            <w:r>
              <w:rPr>
                <w:rFonts w:ascii="Calibri" w:hAnsi="Calibri" w:eastAsia="STHeiti"/>
                <w:b w:val="0"/>
                <w:color w:val="172B4D"/>
                <w:sz w:val="17"/>
              </w:rPr>
              <w:t>当 B 组转化率更高且样本充足时，系统能返回 uplift、p-value 和明确结论。</w:t>
            </w:r>
          </w:p>
        </w:tc>
      </w:tr>
      <w:tr w14:paraId="5601CAE7">
        <w:tc>
          <w:tcPr>
            <w:tcW w:w="4680" w:type="dxa"/>
            <w:tcMar>
              <w:top w:w="80" w:type="dxa"/>
              <w:left w:w="120" w:type="dxa"/>
              <w:bottom w:w="80" w:type="dxa"/>
              <w:right w:w="120" w:type="dxa"/>
            </w:tcMar>
            <w:vAlign w:val="center"/>
          </w:tcPr>
          <w:p w14:paraId="70BCB1FC">
            <w:pPr>
              <w:spacing w:before="0" w:after="0" w:line="259" w:lineRule="auto"/>
              <w:jc w:val="center"/>
            </w:pPr>
            <w:r>
              <w:rPr>
                <w:rFonts w:ascii="Calibri" w:hAnsi="Calibri" w:eastAsia="STHeiti"/>
                <w:b w:val="0"/>
                <w:color w:val="172B4D"/>
                <w:sz w:val="17"/>
              </w:rPr>
              <w:t>前端体验</w:t>
            </w:r>
          </w:p>
        </w:tc>
        <w:tc>
          <w:tcPr>
            <w:tcW w:w="4680" w:type="dxa"/>
            <w:tcMar>
              <w:top w:w="80" w:type="dxa"/>
              <w:left w:w="120" w:type="dxa"/>
              <w:bottom w:w="80" w:type="dxa"/>
              <w:right w:w="120" w:type="dxa"/>
            </w:tcMar>
            <w:vAlign w:val="center"/>
          </w:tcPr>
          <w:p w14:paraId="4087F438">
            <w:pPr>
              <w:spacing w:before="0" w:after="0" w:line="259" w:lineRule="auto"/>
            </w:pPr>
            <w:r>
              <w:rPr>
                <w:rFonts w:ascii="Calibri" w:hAnsi="Calibri" w:eastAsia="STHeiti"/>
                <w:b w:val="0"/>
                <w:color w:val="172B4D"/>
                <w:sz w:val="17"/>
              </w:rPr>
              <w:t>筛选条件改变后，图表联动刷新；图表无明显遮挡或空白异常。</w:t>
            </w:r>
          </w:p>
        </w:tc>
      </w:tr>
      <w:tr w14:paraId="0E56F629">
        <w:tc>
          <w:tcPr>
            <w:tcW w:w="4680" w:type="dxa"/>
            <w:tcMar>
              <w:top w:w="80" w:type="dxa"/>
              <w:left w:w="120" w:type="dxa"/>
              <w:bottom w:w="80" w:type="dxa"/>
              <w:right w:w="120" w:type="dxa"/>
            </w:tcMar>
            <w:vAlign w:val="center"/>
          </w:tcPr>
          <w:p w14:paraId="476E7A76">
            <w:pPr>
              <w:spacing w:before="0" w:after="0" w:line="259" w:lineRule="auto"/>
              <w:jc w:val="center"/>
            </w:pPr>
            <w:r>
              <w:rPr>
                <w:rFonts w:ascii="Calibri" w:hAnsi="Calibri" w:eastAsia="STHeiti"/>
                <w:b w:val="0"/>
                <w:color w:val="172B4D"/>
                <w:sz w:val="17"/>
              </w:rPr>
              <w:t>部署上线</w:t>
            </w:r>
          </w:p>
        </w:tc>
        <w:tc>
          <w:tcPr>
            <w:tcW w:w="4680" w:type="dxa"/>
            <w:tcMar>
              <w:top w:w="80" w:type="dxa"/>
              <w:left w:w="120" w:type="dxa"/>
              <w:bottom w:w="80" w:type="dxa"/>
              <w:right w:w="120" w:type="dxa"/>
            </w:tcMar>
            <w:vAlign w:val="center"/>
          </w:tcPr>
          <w:p w14:paraId="10832B43">
            <w:pPr>
              <w:spacing w:before="0" w:after="0" w:line="259" w:lineRule="auto"/>
            </w:pPr>
            <w:r>
              <w:rPr>
                <w:rFonts w:ascii="Calibri" w:hAnsi="Calibri" w:eastAsia="STHeiti"/>
                <w:b w:val="0"/>
                <w:color w:val="172B4D"/>
                <w:sz w:val="17"/>
              </w:rPr>
              <w:t>Render 后端健康检查通过，Streamlit Cloud 可访问并能请求后端 API。</w:t>
            </w:r>
          </w:p>
        </w:tc>
      </w:tr>
    </w:tbl>
    <w:p w14:paraId="633D27BF"/>
    <w:p w14:paraId="455AAE90">
      <w:bookmarkStart w:id="0" w:name="_GoBack"/>
      <w:bookmarkEnd w:id="0"/>
    </w:p>
    <w:p w14:paraId="2ECCF14D">
      <w:pPr>
        <w:pStyle w:val="3"/>
        <w:spacing w:before="320" w:after="120" w:line="264" w:lineRule="auto"/>
      </w:pPr>
      <w:r>
        <w:rPr>
          <w:rFonts w:ascii="Calibri" w:hAnsi="Calibri" w:eastAsia="STHeiti"/>
          <w:b/>
          <w:color w:val="2E74B5"/>
          <w:sz w:val="32"/>
        </w:rPr>
        <w:t>11. 风险与后续迭代</w:t>
      </w:r>
    </w:p>
    <w:p w14:paraId="07920AE1">
      <w:pPr>
        <w:pStyle w:val="4"/>
        <w:spacing w:before="200" w:after="120" w:line="264" w:lineRule="auto"/>
      </w:pPr>
      <w:r>
        <w:rPr>
          <w:rFonts w:ascii="Calibri" w:hAnsi="Calibri" w:eastAsia="STHeiti"/>
          <w:b/>
          <w:color w:val="2E74B5"/>
          <w:sz w:val="26"/>
        </w:rPr>
        <w:t>11.1 主要风险</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47CB19AF">
        <w:tc>
          <w:tcPr>
            <w:tcW w:w="2016" w:type="dxa"/>
            <w:shd w:val="clear" w:color="auto" w:fill="F2F4F7"/>
            <w:tcMar>
              <w:top w:w="80" w:type="dxa"/>
              <w:left w:w="120" w:type="dxa"/>
              <w:bottom w:w="80" w:type="dxa"/>
              <w:right w:w="120" w:type="dxa"/>
            </w:tcMar>
            <w:vAlign w:val="center"/>
          </w:tcPr>
          <w:p w14:paraId="350F89F2">
            <w:pPr>
              <w:spacing w:before="0" w:after="0" w:line="259" w:lineRule="auto"/>
              <w:jc w:val="center"/>
            </w:pPr>
            <w:r>
              <w:rPr>
                <w:rFonts w:ascii="Calibri" w:hAnsi="Calibri" w:eastAsia="STHeiti"/>
                <w:b/>
                <w:color w:val="172B4D"/>
                <w:sz w:val="18"/>
              </w:rPr>
              <w:t>风险</w:t>
            </w:r>
          </w:p>
        </w:tc>
        <w:tc>
          <w:tcPr>
            <w:tcW w:w="3168" w:type="dxa"/>
            <w:shd w:val="clear" w:color="auto" w:fill="F2F4F7"/>
            <w:tcMar>
              <w:top w:w="80" w:type="dxa"/>
              <w:left w:w="120" w:type="dxa"/>
              <w:bottom w:w="80" w:type="dxa"/>
              <w:right w:w="120" w:type="dxa"/>
            </w:tcMar>
            <w:vAlign w:val="center"/>
          </w:tcPr>
          <w:p w14:paraId="323D3128">
            <w:pPr>
              <w:spacing w:before="0" w:after="0" w:line="259" w:lineRule="auto"/>
              <w:jc w:val="center"/>
            </w:pPr>
            <w:r>
              <w:rPr>
                <w:rFonts w:ascii="Calibri" w:hAnsi="Calibri" w:eastAsia="STHeiti"/>
                <w:b/>
                <w:color w:val="172B4D"/>
                <w:sz w:val="18"/>
              </w:rPr>
              <w:t>影响</w:t>
            </w:r>
          </w:p>
        </w:tc>
        <w:tc>
          <w:tcPr>
            <w:tcW w:w="4176" w:type="dxa"/>
            <w:shd w:val="clear" w:color="auto" w:fill="F2F4F7"/>
            <w:tcMar>
              <w:top w:w="80" w:type="dxa"/>
              <w:left w:w="120" w:type="dxa"/>
              <w:bottom w:w="80" w:type="dxa"/>
              <w:right w:w="120" w:type="dxa"/>
            </w:tcMar>
            <w:vAlign w:val="center"/>
          </w:tcPr>
          <w:p w14:paraId="5F7C2F42">
            <w:pPr>
              <w:spacing w:before="0" w:after="0" w:line="259" w:lineRule="auto"/>
              <w:jc w:val="center"/>
            </w:pPr>
            <w:r>
              <w:rPr>
                <w:rFonts w:ascii="Calibri" w:hAnsi="Calibri" w:eastAsia="STHeiti"/>
                <w:b/>
                <w:color w:val="172B4D"/>
                <w:sz w:val="18"/>
              </w:rPr>
              <w:t>应对策略</w:t>
            </w:r>
          </w:p>
        </w:tc>
      </w:tr>
      <w:tr w14:paraId="2A3DDB74">
        <w:tc>
          <w:tcPr>
            <w:tcW w:w="3120" w:type="dxa"/>
            <w:tcMar>
              <w:top w:w="80" w:type="dxa"/>
              <w:left w:w="120" w:type="dxa"/>
              <w:bottom w:w="80" w:type="dxa"/>
              <w:right w:w="120" w:type="dxa"/>
            </w:tcMar>
            <w:vAlign w:val="center"/>
          </w:tcPr>
          <w:p w14:paraId="21114137">
            <w:pPr>
              <w:spacing w:before="0" w:after="0" w:line="259" w:lineRule="auto"/>
              <w:jc w:val="center"/>
            </w:pPr>
            <w:r>
              <w:rPr>
                <w:rFonts w:ascii="Calibri" w:hAnsi="Calibri" w:eastAsia="STHeiti"/>
                <w:b w:val="0"/>
                <w:color w:val="172B4D"/>
                <w:sz w:val="17"/>
              </w:rPr>
              <w:t>样本量不足</w:t>
            </w:r>
          </w:p>
        </w:tc>
        <w:tc>
          <w:tcPr>
            <w:tcW w:w="3120" w:type="dxa"/>
            <w:tcMar>
              <w:top w:w="80" w:type="dxa"/>
              <w:left w:w="120" w:type="dxa"/>
              <w:bottom w:w="80" w:type="dxa"/>
              <w:right w:w="120" w:type="dxa"/>
            </w:tcMar>
            <w:vAlign w:val="center"/>
          </w:tcPr>
          <w:p w14:paraId="0C61B2DF">
            <w:pPr>
              <w:spacing w:before="0" w:after="0" w:line="259" w:lineRule="auto"/>
            </w:pPr>
            <w:r>
              <w:rPr>
                <w:rFonts w:ascii="Calibri" w:hAnsi="Calibri" w:eastAsia="STHeiti"/>
                <w:b w:val="0"/>
                <w:color w:val="172B4D"/>
                <w:sz w:val="17"/>
              </w:rPr>
              <w:t>实验结论不稳定，容易误判。</w:t>
            </w:r>
          </w:p>
        </w:tc>
        <w:tc>
          <w:tcPr>
            <w:tcW w:w="3120" w:type="dxa"/>
            <w:tcMar>
              <w:top w:w="80" w:type="dxa"/>
              <w:left w:w="120" w:type="dxa"/>
              <w:bottom w:w="80" w:type="dxa"/>
              <w:right w:w="120" w:type="dxa"/>
            </w:tcMar>
            <w:vAlign w:val="center"/>
          </w:tcPr>
          <w:p w14:paraId="3AE568A0">
            <w:pPr>
              <w:spacing w:before="0" w:after="0" w:line="259" w:lineRule="auto"/>
            </w:pPr>
            <w:r>
              <w:rPr>
                <w:rFonts w:ascii="Calibri" w:hAnsi="Calibri" w:eastAsia="STHeiti"/>
                <w:b w:val="0"/>
                <w:color w:val="172B4D"/>
                <w:sz w:val="17"/>
              </w:rPr>
              <w:t>设置最小样本阈值，样本不足时只提示观察。</w:t>
            </w:r>
          </w:p>
        </w:tc>
      </w:tr>
      <w:tr w14:paraId="3ED420CD">
        <w:tc>
          <w:tcPr>
            <w:tcW w:w="3120" w:type="dxa"/>
            <w:tcMar>
              <w:top w:w="80" w:type="dxa"/>
              <w:left w:w="120" w:type="dxa"/>
              <w:bottom w:w="80" w:type="dxa"/>
              <w:right w:w="120" w:type="dxa"/>
            </w:tcMar>
            <w:vAlign w:val="center"/>
          </w:tcPr>
          <w:p w14:paraId="712CA39C">
            <w:pPr>
              <w:spacing w:before="0" w:after="0" w:line="259" w:lineRule="auto"/>
              <w:jc w:val="center"/>
            </w:pPr>
            <w:r>
              <w:rPr>
                <w:rFonts w:ascii="Calibri" w:hAnsi="Calibri" w:eastAsia="STHeiti"/>
                <w:b w:val="0"/>
                <w:color w:val="172B4D"/>
                <w:sz w:val="17"/>
              </w:rPr>
              <w:t>模拟数据偏离真实业务</w:t>
            </w:r>
          </w:p>
        </w:tc>
        <w:tc>
          <w:tcPr>
            <w:tcW w:w="3120" w:type="dxa"/>
            <w:tcMar>
              <w:top w:w="80" w:type="dxa"/>
              <w:left w:w="120" w:type="dxa"/>
              <w:bottom w:w="80" w:type="dxa"/>
              <w:right w:w="120" w:type="dxa"/>
            </w:tcMar>
            <w:vAlign w:val="center"/>
          </w:tcPr>
          <w:p w14:paraId="1DE3EB4B">
            <w:pPr>
              <w:spacing w:before="0" w:after="0" w:line="259" w:lineRule="auto"/>
            </w:pPr>
            <w:r>
              <w:rPr>
                <w:rFonts w:ascii="Calibri" w:hAnsi="Calibri" w:eastAsia="STHeiti"/>
                <w:b w:val="0"/>
                <w:color w:val="172B4D"/>
                <w:sz w:val="17"/>
              </w:rPr>
              <w:t>作品集 Demo 的数据分布可能过于理想。</w:t>
            </w:r>
          </w:p>
        </w:tc>
        <w:tc>
          <w:tcPr>
            <w:tcW w:w="3120" w:type="dxa"/>
            <w:tcMar>
              <w:top w:w="80" w:type="dxa"/>
              <w:left w:w="120" w:type="dxa"/>
              <w:bottom w:w="80" w:type="dxa"/>
              <w:right w:w="120" w:type="dxa"/>
            </w:tcMar>
            <w:vAlign w:val="center"/>
          </w:tcPr>
          <w:p w14:paraId="111EFB56">
            <w:pPr>
              <w:spacing w:before="0" w:after="0" w:line="259" w:lineRule="auto"/>
            </w:pPr>
            <w:r>
              <w:rPr>
                <w:rFonts w:ascii="Calibri" w:hAnsi="Calibri" w:eastAsia="STHeiti"/>
                <w:b w:val="0"/>
                <w:color w:val="172B4D"/>
                <w:sz w:val="17"/>
              </w:rPr>
              <w:t>在 README 和 PRD 中说明模拟假设，后续支持真实埋点接入。</w:t>
            </w:r>
          </w:p>
        </w:tc>
      </w:tr>
      <w:tr w14:paraId="42AE77C4">
        <w:tc>
          <w:tcPr>
            <w:tcW w:w="3120" w:type="dxa"/>
            <w:tcMar>
              <w:top w:w="80" w:type="dxa"/>
              <w:left w:w="120" w:type="dxa"/>
              <w:bottom w:w="80" w:type="dxa"/>
              <w:right w:w="120" w:type="dxa"/>
            </w:tcMar>
            <w:vAlign w:val="center"/>
          </w:tcPr>
          <w:p w14:paraId="3C1D0116">
            <w:pPr>
              <w:spacing w:before="0" w:after="0" w:line="259" w:lineRule="auto"/>
              <w:jc w:val="center"/>
            </w:pPr>
            <w:r>
              <w:rPr>
                <w:rFonts w:ascii="Calibri" w:hAnsi="Calibri" w:eastAsia="STHeiti"/>
                <w:b w:val="0"/>
                <w:color w:val="172B4D"/>
                <w:sz w:val="17"/>
              </w:rPr>
              <w:t>归因模型简化</w:t>
            </w:r>
          </w:p>
        </w:tc>
        <w:tc>
          <w:tcPr>
            <w:tcW w:w="3120" w:type="dxa"/>
            <w:tcMar>
              <w:top w:w="80" w:type="dxa"/>
              <w:left w:w="120" w:type="dxa"/>
              <w:bottom w:w="80" w:type="dxa"/>
              <w:right w:w="120" w:type="dxa"/>
            </w:tcMar>
            <w:vAlign w:val="center"/>
          </w:tcPr>
          <w:p w14:paraId="4C5A3131">
            <w:pPr>
              <w:spacing w:before="0" w:after="0" w:line="259" w:lineRule="auto"/>
            </w:pPr>
            <w:r>
              <w:rPr>
                <w:rFonts w:ascii="Calibri" w:hAnsi="Calibri" w:eastAsia="STHeiti"/>
                <w:b w:val="0"/>
                <w:color w:val="172B4D"/>
                <w:sz w:val="17"/>
              </w:rPr>
              <w:t>首次/最后触达无法覆盖多触点贡献。</w:t>
            </w:r>
          </w:p>
        </w:tc>
        <w:tc>
          <w:tcPr>
            <w:tcW w:w="3120" w:type="dxa"/>
            <w:tcMar>
              <w:top w:w="80" w:type="dxa"/>
              <w:left w:w="120" w:type="dxa"/>
              <w:bottom w:w="80" w:type="dxa"/>
              <w:right w:w="120" w:type="dxa"/>
            </w:tcMar>
            <w:vAlign w:val="center"/>
          </w:tcPr>
          <w:p w14:paraId="6512CF84">
            <w:pPr>
              <w:spacing w:before="0" w:after="0" w:line="259" w:lineRule="auto"/>
            </w:pPr>
            <w:r>
              <w:rPr>
                <w:rFonts w:ascii="Calibri" w:hAnsi="Calibri" w:eastAsia="STHeiti"/>
                <w:b w:val="0"/>
                <w:color w:val="172B4D"/>
                <w:sz w:val="17"/>
              </w:rPr>
              <w:t>作为第一版产品边界，后续扩展线性归因、时间衰减归因。</w:t>
            </w:r>
          </w:p>
        </w:tc>
      </w:tr>
      <w:tr w14:paraId="458AFB80">
        <w:tc>
          <w:tcPr>
            <w:tcW w:w="3120" w:type="dxa"/>
            <w:tcMar>
              <w:top w:w="80" w:type="dxa"/>
              <w:left w:w="120" w:type="dxa"/>
              <w:bottom w:w="80" w:type="dxa"/>
              <w:right w:w="120" w:type="dxa"/>
            </w:tcMar>
            <w:vAlign w:val="center"/>
          </w:tcPr>
          <w:p w14:paraId="70731E32">
            <w:pPr>
              <w:spacing w:before="0" w:after="0" w:line="259" w:lineRule="auto"/>
              <w:jc w:val="center"/>
            </w:pPr>
            <w:r>
              <w:rPr>
                <w:rFonts w:ascii="Calibri" w:hAnsi="Calibri" w:eastAsia="STHeiti"/>
                <w:b w:val="0"/>
                <w:color w:val="172B4D"/>
                <w:sz w:val="17"/>
              </w:rPr>
              <w:t>实时性有限</w:t>
            </w:r>
          </w:p>
        </w:tc>
        <w:tc>
          <w:tcPr>
            <w:tcW w:w="3120" w:type="dxa"/>
            <w:tcMar>
              <w:top w:w="80" w:type="dxa"/>
              <w:left w:w="120" w:type="dxa"/>
              <w:bottom w:w="80" w:type="dxa"/>
              <w:right w:w="120" w:type="dxa"/>
            </w:tcMar>
            <w:vAlign w:val="center"/>
          </w:tcPr>
          <w:p w14:paraId="3EDBF32F">
            <w:pPr>
              <w:spacing w:before="0" w:after="0" w:line="259" w:lineRule="auto"/>
            </w:pPr>
            <w:r>
              <w:rPr>
                <w:rFonts w:ascii="Calibri" w:hAnsi="Calibri" w:eastAsia="STHeiti"/>
                <w:b w:val="0"/>
                <w:color w:val="172B4D"/>
                <w:sz w:val="17"/>
              </w:rPr>
              <w:t>轮询刷新无法达到真正流计算秒级能力。</w:t>
            </w:r>
          </w:p>
        </w:tc>
        <w:tc>
          <w:tcPr>
            <w:tcW w:w="3120" w:type="dxa"/>
            <w:tcMar>
              <w:top w:w="80" w:type="dxa"/>
              <w:left w:w="120" w:type="dxa"/>
              <w:bottom w:w="80" w:type="dxa"/>
              <w:right w:w="120" w:type="dxa"/>
            </w:tcMar>
            <w:vAlign w:val="center"/>
          </w:tcPr>
          <w:p w14:paraId="71D815F3">
            <w:pPr>
              <w:spacing w:before="0" w:after="0" w:line="259" w:lineRule="auto"/>
            </w:pPr>
            <w:r>
              <w:rPr>
                <w:rFonts w:ascii="Calibri" w:hAnsi="Calibri" w:eastAsia="STHeiti"/>
                <w:b w:val="0"/>
                <w:color w:val="172B4D"/>
                <w:sz w:val="17"/>
              </w:rPr>
              <w:t>第一版采用短间隔刷新，后续引入流处理或缓存层。</w:t>
            </w:r>
          </w:p>
        </w:tc>
      </w:tr>
      <w:tr w14:paraId="761DC638">
        <w:tc>
          <w:tcPr>
            <w:tcW w:w="3120" w:type="dxa"/>
            <w:tcMar>
              <w:top w:w="80" w:type="dxa"/>
              <w:left w:w="120" w:type="dxa"/>
              <w:bottom w:w="80" w:type="dxa"/>
              <w:right w:w="120" w:type="dxa"/>
            </w:tcMar>
            <w:vAlign w:val="center"/>
          </w:tcPr>
          <w:p w14:paraId="51CBA625">
            <w:pPr>
              <w:spacing w:before="0" w:after="0" w:line="259" w:lineRule="auto"/>
              <w:jc w:val="center"/>
            </w:pPr>
            <w:r>
              <w:rPr>
                <w:rFonts w:ascii="Calibri" w:hAnsi="Calibri" w:eastAsia="STHeiti"/>
                <w:b w:val="0"/>
                <w:color w:val="172B4D"/>
                <w:sz w:val="17"/>
              </w:rPr>
              <w:t>配置误操作</w:t>
            </w:r>
          </w:p>
        </w:tc>
        <w:tc>
          <w:tcPr>
            <w:tcW w:w="3120" w:type="dxa"/>
            <w:tcMar>
              <w:top w:w="80" w:type="dxa"/>
              <w:left w:w="120" w:type="dxa"/>
              <w:bottom w:w="80" w:type="dxa"/>
              <w:right w:w="120" w:type="dxa"/>
            </w:tcMar>
            <w:vAlign w:val="center"/>
          </w:tcPr>
          <w:p w14:paraId="415CD608">
            <w:pPr>
              <w:spacing w:before="0" w:after="0" w:line="259" w:lineRule="auto"/>
            </w:pPr>
            <w:r>
              <w:rPr>
                <w:rFonts w:ascii="Calibri" w:hAnsi="Calibri" w:eastAsia="STHeiti"/>
                <w:b w:val="0"/>
                <w:color w:val="172B4D"/>
                <w:sz w:val="17"/>
              </w:rPr>
              <w:t>错误阈值或分流比例可能影响判断。</w:t>
            </w:r>
          </w:p>
        </w:tc>
        <w:tc>
          <w:tcPr>
            <w:tcW w:w="3120" w:type="dxa"/>
            <w:tcMar>
              <w:top w:w="80" w:type="dxa"/>
              <w:left w:w="120" w:type="dxa"/>
              <w:bottom w:w="80" w:type="dxa"/>
              <w:right w:w="120" w:type="dxa"/>
            </w:tcMar>
            <w:vAlign w:val="center"/>
          </w:tcPr>
          <w:p w14:paraId="247F6D81">
            <w:pPr>
              <w:spacing w:before="0" w:after="0" w:line="259" w:lineRule="auto"/>
            </w:pPr>
            <w:r>
              <w:rPr>
                <w:rFonts w:ascii="Calibri" w:hAnsi="Calibri" w:eastAsia="STHeiti"/>
                <w:b w:val="0"/>
                <w:color w:val="172B4D"/>
                <w:sz w:val="17"/>
              </w:rPr>
              <w:t>后续增加权限、变更记录和配置回滚。</w:t>
            </w:r>
          </w:p>
        </w:tc>
      </w:tr>
    </w:tbl>
    <w:p w14:paraId="61FD08B6"/>
    <w:p w14:paraId="6C94F618">
      <w:pPr>
        <w:pStyle w:val="4"/>
        <w:spacing w:before="200" w:after="120" w:line="264" w:lineRule="auto"/>
      </w:pPr>
      <w:r>
        <w:rPr>
          <w:rFonts w:ascii="Calibri" w:hAnsi="Calibri" w:eastAsia="STHeiti"/>
          <w:b/>
          <w:color w:val="2E74B5"/>
          <w:sz w:val="26"/>
        </w:rPr>
        <w:t>11.2 后续迭代方向</w:t>
      </w:r>
    </w:p>
    <w:p w14:paraId="5E6A6FE2">
      <w:pPr>
        <w:pStyle w:val="16"/>
        <w:spacing w:before="0" w:after="80" w:line="269" w:lineRule="auto"/>
      </w:pPr>
      <w:r>
        <w:rPr>
          <w:rFonts w:ascii="Calibri" w:hAnsi="Calibri" w:eastAsia="STHeiti"/>
          <w:color w:val="172B4D"/>
          <w:sz w:val="21"/>
        </w:rPr>
        <w:t>多实验管理：支持多个实验并行、实验状态流转和实验历史沉淀。</w:t>
      </w:r>
    </w:p>
    <w:p w14:paraId="16B0360B">
      <w:pPr>
        <w:pStyle w:val="16"/>
        <w:spacing w:before="0" w:after="80" w:line="269" w:lineRule="auto"/>
      </w:pPr>
      <w:r>
        <w:rPr>
          <w:rFonts w:ascii="Calibri" w:hAnsi="Calibri" w:eastAsia="STHeiti"/>
          <w:color w:val="172B4D"/>
          <w:sz w:val="21"/>
        </w:rPr>
        <w:t>人群下钻：支持新老用户、设备、国家、渠道等维度分析。</w:t>
      </w:r>
    </w:p>
    <w:p w14:paraId="0FEAC60B">
      <w:pPr>
        <w:pStyle w:val="16"/>
        <w:spacing w:before="0" w:after="80" w:line="269" w:lineRule="auto"/>
      </w:pPr>
      <w:r>
        <w:rPr>
          <w:rFonts w:ascii="Calibri" w:hAnsi="Calibri" w:eastAsia="STHeiti"/>
          <w:color w:val="172B4D"/>
          <w:sz w:val="21"/>
        </w:rPr>
        <w:t>高级归因：扩展线性归因、时间衰减归因和 Shapley Value 归因。</w:t>
      </w:r>
    </w:p>
    <w:p w14:paraId="338C974A">
      <w:pPr>
        <w:pStyle w:val="16"/>
        <w:spacing w:before="0" w:after="80" w:line="269" w:lineRule="auto"/>
      </w:pPr>
      <w:r>
        <w:rPr>
          <w:rFonts w:ascii="Calibri" w:hAnsi="Calibri" w:eastAsia="STHeiti"/>
          <w:color w:val="172B4D"/>
          <w:sz w:val="21"/>
        </w:rPr>
        <w:t>实验方法升级：增加贝叶斯实验评估、序贯检验和最小可检测效应配置。</w:t>
      </w:r>
    </w:p>
    <w:p w14:paraId="5A438CC2">
      <w:pPr>
        <w:pStyle w:val="16"/>
        <w:spacing w:before="0" w:after="80" w:line="269" w:lineRule="auto"/>
      </w:pPr>
      <w:r>
        <w:rPr>
          <w:rFonts w:ascii="Calibri" w:hAnsi="Calibri" w:eastAsia="STHeiti"/>
          <w:color w:val="172B4D"/>
          <w:sz w:val="21"/>
        </w:rPr>
        <w:t>数据治理：补充指标血缘、口径版本、异常事件校验和埋点质量监控。</w:t>
      </w:r>
    </w:p>
    <w:p w14:paraId="33C295E0">
      <w:pPr>
        <w:pStyle w:val="16"/>
        <w:spacing w:before="0" w:after="80" w:line="269" w:lineRule="auto"/>
      </w:pPr>
      <w:r>
        <w:rPr>
          <w:rFonts w:ascii="Calibri" w:hAnsi="Calibri" w:eastAsia="STHeiti"/>
          <w:color w:val="172B4D"/>
          <w:sz w:val="21"/>
        </w:rPr>
        <w:t>协作能力：增加结论导出、实验复盘模板和决策记录。</w:t>
      </w:r>
    </w:p>
    <w:p w14:paraId="4A73DE0C">
      <w:pPr>
        <w:pStyle w:val="3"/>
        <w:spacing w:before="320" w:after="120" w:line="264" w:lineRule="auto"/>
      </w:pPr>
      <w:r>
        <w:rPr>
          <w:rFonts w:ascii="Calibri" w:hAnsi="Calibri" w:eastAsia="STHeiti"/>
          <w:b/>
          <w:color w:val="2E74B5"/>
          <w:sz w:val="32"/>
        </w:rPr>
        <w:t>12. 作品集表达重点</w:t>
      </w:r>
    </w:p>
    <w:p w14:paraId="5F837A92">
      <w:pPr>
        <w:spacing w:before="0" w:after="120" w:line="269" w:lineRule="auto"/>
      </w:pPr>
      <w:r>
        <w:rPr>
          <w:rFonts w:ascii="Calibri" w:hAnsi="Calibri" w:eastAsia="STHeiti"/>
          <w:color w:val="172B4D"/>
          <w:sz w:val="21"/>
        </w:rPr>
        <w:t>面试展示时，该项目应强调你不是只做了一个 Dashboard，而是完成了从业务问题抽象、指标口径定义、实验判断规则、数据接口设计到可视化决策闭环的一整套数据产品设计。</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11401819">
        <w:tc>
          <w:tcPr>
            <w:tcW w:w="1944" w:type="dxa"/>
            <w:shd w:val="clear" w:color="auto" w:fill="F2F4F7"/>
            <w:tcMar>
              <w:top w:w="80" w:type="dxa"/>
              <w:left w:w="120" w:type="dxa"/>
              <w:bottom w:w="80" w:type="dxa"/>
              <w:right w:w="120" w:type="dxa"/>
            </w:tcMar>
            <w:vAlign w:val="center"/>
          </w:tcPr>
          <w:p w14:paraId="3389C55A">
            <w:pPr>
              <w:spacing w:before="0" w:after="0" w:line="259" w:lineRule="auto"/>
              <w:jc w:val="center"/>
            </w:pPr>
            <w:r>
              <w:rPr>
                <w:rFonts w:ascii="Calibri" w:hAnsi="Calibri" w:eastAsia="STHeiti"/>
                <w:b/>
                <w:color w:val="172B4D"/>
                <w:sz w:val="18"/>
              </w:rPr>
              <w:t>能力维度</w:t>
            </w:r>
          </w:p>
        </w:tc>
        <w:tc>
          <w:tcPr>
            <w:tcW w:w="7416" w:type="dxa"/>
            <w:shd w:val="clear" w:color="auto" w:fill="F2F4F7"/>
            <w:tcMar>
              <w:top w:w="80" w:type="dxa"/>
              <w:left w:w="120" w:type="dxa"/>
              <w:bottom w:w="80" w:type="dxa"/>
              <w:right w:w="120" w:type="dxa"/>
            </w:tcMar>
            <w:vAlign w:val="center"/>
          </w:tcPr>
          <w:p w14:paraId="3FB204A1">
            <w:pPr>
              <w:spacing w:before="0" w:after="0" w:line="259" w:lineRule="auto"/>
              <w:jc w:val="center"/>
            </w:pPr>
            <w:r>
              <w:rPr>
                <w:rFonts w:ascii="Calibri" w:hAnsi="Calibri" w:eastAsia="STHeiti"/>
                <w:b/>
                <w:color w:val="172B4D"/>
                <w:sz w:val="18"/>
              </w:rPr>
              <w:t>项目体现</w:t>
            </w:r>
          </w:p>
        </w:tc>
      </w:tr>
      <w:tr w14:paraId="6D1934DB">
        <w:tc>
          <w:tcPr>
            <w:tcW w:w="4680" w:type="dxa"/>
            <w:tcMar>
              <w:top w:w="80" w:type="dxa"/>
              <w:left w:w="120" w:type="dxa"/>
              <w:bottom w:w="80" w:type="dxa"/>
              <w:right w:w="120" w:type="dxa"/>
            </w:tcMar>
            <w:vAlign w:val="center"/>
          </w:tcPr>
          <w:p w14:paraId="5D3B3D06">
            <w:pPr>
              <w:spacing w:before="0" w:after="0" w:line="259" w:lineRule="auto"/>
              <w:jc w:val="center"/>
            </w:pPr>
            <w:r>
              <w:rPr>
                <w:rFonts w:ascii="Calibri" w:hAnsi="Calibri" w:eastAsia="STHeiti"/>
                <w:b w:val="0"/>
                <w:color w:val="172B4D"/>
                <w:sz w:val="17"/>
              </w:rPr>
              <w:t>业务理解</w:t>
            </w:r>
          </w:p>
        </w:tc>
        <w:tc>
          <w:tcPr>
            <w:tcW w:w="4680" w:type="dxa"/>
            <w:tcMar>
              <w:top w:w="80" w:type="dxa"/>
              <w:left w:w="120" w:type="dxa"/>
              <w:bottom w:w="80" w:type="dxa"/>
              <w:right w:w="120" w:type="dxa"/>
            </w:tcMar>
            <w:vAlign w:val="center"/>
          </w:tcPr>
          <w:p w14:paraId="34C3C5B4">
            <w:pPr>
              <w:spacing w:before="0" w:after="0" w:line="259" w:lineRule="auto"/>
            </w:pPr>
            <w:r>
              <w:rPr>
                <w:rFonts w:ascii="Calibri" w:hAnsi="Calibri" w:eastAsia="STHeiti"/>
                <w:b w:val="0"/>
                <w:color w:val="172B4D"/>
                <w:sz w:val="17"/>
              </w:rPr>
              <w:t>围绕综合电商转化增长和投放优化构建场景。</w:t>
            </w:r>
          </w:p>
        </w:tc>
      </w:tr>
      <w:tr w14:paraId="1DDE38FC">
        <w:tc>
          <w:tcPr>
            <w:tcW w:w="4680" w:type="dxa"/>
            <w:tcMar>
              <w:top w:w="80" w:type="dxa"/>
              <w:left w:w="120" w:type="dxa"/>
              <w:bottom w:w="80" w:type="dxa"/>
              <w:right w:w="120" w:type="dxa"/>
            </w:tcMar>
            <w:vAlign w:val="center"/>
          </w:tcPr>
          <w:p w14:paraId="28A334B9">
            <w:pPr>
              <w:spacing w:before="0" w:after="0" w:line="259" w:lineRule="auto"/>
              <w:jc w:val="center"/>
            </w:pPr>
            <w:r>
              <w:rPr>
                <w:rFonts w:ascii="Calibri" w:hAnsi="Calibri" w:eastAsia="STHeiti"/>
                <w:b w:val="0"/>
                <w:color w:val="172B4D"/>
                <w:sz w:val="17"/>
              </w:rPr>
              <w:t>指标设计</w:t>
            </w:r>
          </w:p>
        </w:tc>
        <w:tc>
          <w:tcPr>
            <w:tcW w:w="4680" w:type="dxa"/>
            <w:tcMar>
              <w:top w:w="80" w:type="dxa"/>
              <w:left w:w="120" w:type="dxa"/>
              <w:bottom w:w="80" w:type="dxa"/>
              <w:right w:w="120" w:type="dxa"/>
            </w:tcMar>
            <w:vAlign w:val="center"/>
          </w:tcPr>
          <w:p w14:paraId="79A62DCA">
            <w:pPr>
              <w:spacing w:before="0" w:after="0" w:line="259" w:lineRule="auto"/>
            </w:pPr>
            <w:r>
              <w:rPr>
                <w:rFonts w:ascii="Calibri" w:hAnsi="Calibri" w:eastAsia="STHeiti"/>
                <w:b w:val="0"/>
                <w:color w:val="172B4D"/>
                <w:sz w:val="17"/>
              </w:rPr>
              <w:t>定义 DAU、GMV、转化率、AOV、uplift、p-value 等口径。</w:t>
            </w:r>
          </w:p>
        </w:tc>
      </w:tr>
      <w:tr w14:paraId="0CFCBFB1">
        <w:tc>
          <w:tcPr>
            <w:tcW w:w="4680" w:type="dxa"/>
            <w:tcMar>
              <w:top w:w="80" w:type="dxa"/>
              <w:left w:w="120" w:type="dxa"/>
              <w:bottom w:w="80" w:type="dxa"/>
              <w:right w:w="120" w:type="dxa"/>
            </w:tcMar>
            <w:vAlign w:val="center"/>
          </w:tcPr>
          <w:p w14:paraId="3364B2DA">
            <w:pPr>
              <w:spacing w:before="0" w:after="0" w:line="259" w:lineRule="auto"/>
              <w:jc w:val="center"/>
            </w:pPr>
            <w:r>
              <w:rPr>
                <w:rFonts w:ascii="Calibri" w:hAnsi="Calibri" w:eastAsia="STHeiti"/>
                <w:b w:val="0"/>
                <w:color w:val="172B4D"/>
                <w:sz w:val="17"/>
              </w:rPr>
              <w:t>实验思维</w:t>
            </w:r>
          </w:p>
        </w:tc>
        <w:tc>
          <w:tcPr>
            <w:tcW w:w="4680" w:type="dxa"/>
            <w:tcMar>
              <w:top w:w="80" w:type="dxa"/>
              <w:left w:w="120" w:type="dxa"/>
              <w:bottom w:w="80" w:type="dxa"/>
              <w:right w:w="120" w:type="dxa"/>
            </w:tcMar>
            <w:vAlign w:val="center"/>
          </w:tcPr>
          <w:p w14:paraId="5E34F242">
            <w:pPr>
              <w:spacing w:before="0" w:after="0" w:line="259" w:lineRule="auto"/>
            </w:pPr>
            <w:r>
              <w:rPr>
                <w:rFonts w:ascii="Calibri" w:hAnsi="Calibri" w:eastAsia="STHeiti"/>
                <w:b w:val="0"/>
                <w:color w:val="172B4D"/>
                <w:sz w:val="17"/>
              </w:rPr>
              <w:t>用显著性检验和样本量判断支持上线决策。</w:t>
            </w:r>
          </w:p>
        </w:tc>
      </w:tr>
      <w:tr w14:paraId="778540C0">
        <w:tc>
          <w:tcPr>
            <w:tcW w:w="4680" w:type="dxa"/>
            <w:tcMar>
              <w:top w:w="80" w:type="dxa"/>
              <w:left w:w="120" w:type="dxa"/>
              <w:bottom w:w="80" w:type="dxa"/>
              <w:right w:w="120" w:type="dxa"/>
            </w:tcMar>
            <w:vAlign w:val="center"/>
          </w:tcPr>
          <w:p w14:paraId="2841DECE">
            <w:pPr>
              <w:spacing w:before="0" w:after="0" w:line="259" w:lineRule="auto"/>
              <w:jc w:val="center"/>
            </w:pPr>
            <w:r>
              <w:rPr>
                <w:rFonts w:ascii="Calibri" w:hAnsi="Calibri" w:eastAsia="STHeiti"/>
                <w:b w:val="0"/>
                <w:color w:val="172B4D"/>
                <w:sz w:val="17"/>
              </w:rPr>
              <w:t>归因分析</w:t>
            </w:r>
          </w:p>
        </w:tc>
        <w:tc>
          <w:tcPr>
            <w:tcW w:w="4680" w:type="dxa"/>
            <w:tcMar>
              <w:top w:w="80" w:type="dxa"/>
              <w:left w:w="120" w:type="dxa"/>
              <w:bottom w:w="80" w:type="dxa"/>
              <w:right w:w="120" w:type="dxa"/>
            </w:tcMar>
            <w:vAlign w:val="center"/>
          </w:tcPr>
          <w:p w14:paraId="30870981">
            <w:pPr>
              <w:spacing w:before="0" w:after="0" w:line="259" w:lineRule="auto"/>
            </w:pPr>
            <w:r>
              <w:rPr>
                <w:rFonts w:ascii="Calibri" w:hAnsi="Calibri" w:eastAsia="STHeiti"/>
                <w:b w:val="0"/>
                <w:color w:val="172B4D"/>
                <w:sz w:val="17"/>
              </w:rPr>
              <w:t>区分首次触达和最后触达模型的业务适用场景。</w:t>
            </w:r>
          </w:p>
        </w:tc>
      </w:tr>
      <w:tr w14:paraId="16B1181E">
        <w:tc>
          <w:tcPr>
            <w:tcW w:w="4680" w:type="dxa"/>
            <w:tcMar>
              <w:top w:w="80" w:type="dxa"/>
              <w:left w:w="120" w:type="dxa"/>
              <w:bottom w:w="80" w:type="dxa"/>
              <w:right w:w="120" w:type="dxa"/>
            </w:tcMar>
            <w:vAlign w:val="center"/>
          </w:tcPr>
          <w:p w14:paraId="10389F4F">
            <w:pPr>
              <w:spacing w:before="0" w:after="0" w:line="259" w:lineRule="auto"/>
              <w:jc w:val="center"/>
            </w:pPr>
            <w:r>
              <w:rPr>
                <w:rFonts w:ascii="Calibri" w:hAnsi="Calibri" w:eastAsia="STHeiti"/>
                <w:b w:val="0"/>
                <w:color w:val="172B4D"/>
                <w:sz w:val="17"/>
              </w:rPr>
              <w:t>产品落地</w:t>
            </w:r>
          </w:p>
        </w:tc>
        <w:tc>
          <w:tcPr>
            <w:tcW w:w="4680" w:type="dxa"/>
            <w:tcMar>
              <w:top w:w="80" w:type="dxa"/>
              <w:left w:w="120" w:type="dxa"/>
              <w:bottom w:w="80" w:type="dxa"/>
              <w:right w:w="120" w:type="dxa"/>
            </w:tcMar>
            <w:vAlign w:val="center"/>
          </w:tcPr>
          <w:p w14:paraId="07A9EE95">
            <w:pPr>
              <w:spacing w:before="0" w:after="0" w:line="259" w:lineRule="auto"/>
            </w:pPr>
            <w:r>
              <w:rPr>
                <w:rFonts w:ascii="Calibri" w:hAnsi="Calibri" w:eastAsia="STHeiti"/>
                <w:b w:val="0"/>
                <w:color w:val="172B4D"/>
                <w:sz w:val="17"/>
              </w:rPr>
              <w:t>把数据模拟、后端 API、前端看板和部署路径串成完整闭环。</w:t>
            </w:r>
          </w:p>
        </w:tc>
      </w:tr>
    </w:tbl>
    <w:p w14:paraId="3D2DA06A"/>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STHeiti">
    <w:panose1 w:val="02010600040101010101"/>
    <w:charset w:val="86"/>
    <w:family w:val="auto"/>
    <w:pitch w:val="default"/>
    <w:sig w:usb0="00000287" w:usb1="080F0000" w:usb2="00000000" w:usb3="00000000" w:csb0="00040001"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BB4819">
    <w:pPr>
      <w:pStyle w:val="24"/>
      <w:jc w:val="right"/>
    </w:pPr>
    <w:r>
      <w:rPr>
        <w:rFonts w:ascii="Calibri" w:hAnsi="Calibri" w:eastAsia="STHeiti"/>
        <w:color w:val="595959"/>
        <w:sz w:val="18"/>
      </w:rPr>
      <w:t xml:space="preserve">Data Product Portfolio | Page </w:t>
    </w:r>
    <w:r>
      <w:rPr>
        <w:rFonts w:ascii="Calibri" w:hAnsi="Calibri" w:eastAsia="STHeiti"/>
        <w:color w:val="595959"/>
        <w:sz w:val="18"/>
      </w:rPr>
      <w:fldChar w:fldCharType="begin"/>
    </w:r>
    <w:r>
      <w:rPr>
        <w:rFonts w:ascii="Calibri" w:hAnsi="Calibri" w:eastAsia="STHeiti"/>
        <w:color w:val="595959"/>
        <w:sz w:val="18"/>
      </w:rPr>
      <w:instrText xml:space="preserve">PAGE</w:instrText>
    </w:r>
    <w:r>
      <w:rPr>
        <w:rFonts w:ascii="Calibri" w:hAnsi="Calibri" w:eastAsia="STHeiti"/>
        <w:color w:val="595959"/>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6EEA5">
    <w:pPr>
      <w:pStyle w:val="25"/>
      <w:spacing w:before="0" w:after="0" w:line="240" w:lineRule="auto"/>
      <w:jc w:val="left"/>
    </w:pPr>
    <w:r>
      <w:rPr>
        <w:rFonts w:ascii="Calibri" w:hAnsi="Calibri" w:eastAsia="STHeiti"/>
        <w:color w:val="595959"/>
        <w:sz w:val="18"/>
      </w:rPr>
      <w:t>实时电商 A/B 测试与归因分析看板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9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E56BA36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STHeiti" w:cstheme="minorBidi"/>
      <w:color w:val="172B4D"/>
      <w:sz w:val="22"/>
      <w:szCs w:val="22"/>
      <w:lang w:val="en-US" w:eastAsia="en-US" w:bidi="ar-SA"/>
    </w:rPr>
  </w:style>
  <w:style w:type="paragraph" w:styleId="3">
    <w:name w:val="heading 1"/>
    <w:basedOn w:val="1"/>
    <w:next w:val="1"/>
    <w:link w:val="138"/>
    <w:qFormat/>
    <w:uiPriority w:val="9"/>
    <w:pPr>
      <w:keepNext/>
      <w:keepLines/>
      <w:spacing w:before="240" w:after="120" w:line="264" w:lineRule="auto"/>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40" w:after="120" w:line="264" w:lineRule="auto"/>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240" w:after="120" w:line="264" w:lineRule="auto"/>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60</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Authority</cp:lastModifiedBy>
  <dcterms:modified xsi:type="dcterms:W3CDTF">2026-07-29T14:10:18Z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2052-12.1.26035.26035</vt:lpwstr>
  </property>
  <property fmtid="{D5CDD505-2E9C-101B-9397-08002B2CF9AE}" pid="3" name="ICV">
    <vt:lpwstr>E3D76DCACED9CD7E4A99696AA02947AA_42</vt:lpwstr>
  </property>
</Properties>
</file>