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Proposal: Launching EcoTech Innovations</w:t>
      </w:r>
    </w:p>
    <w:p>
      <w:pPr>
        <w:jc w:val="center"/>
      </w:pPr>
      <w:r>
        <w:rPr>
          <w:color w:val="888888"/>
          <w:sz w:val="20"/>
        </w:rPr>
        <w:t>April 26, 2026</w:t>
      </w:r>
    </w:p>
    <w:p/>
    <w:p>
      <w:pPr>
        <w:pStyle w:val="Heading1"/>
      </w:pPr>
      <w:r>
        <w:t>Business Proposal: Launching EcoTech Innovations</w:t>
      </w:r>
    </w:p>
    <w:p>
      <w:pPr>
        <w:pStyle w:val="Heading2"/>
      </w:pPr>
      <w:r>
        <w:t>Executive Summary</w:t>
      </w:r>
    </w:p>
    <w:p>
      <w:r>
        <w:t>EcoTech Innovations proposes a partnership to develop and launch sustainable technology solutions for urban waste management. Our innovative recycling platform integrates AI-driven sorting systems with mobile apps for community engagement. This proposal outlines the project scope, timeline, budget, and expected ROI, aiming for a 25% reduction in landfill waste within the first year. We seek $500,000 in funding to initiate operations.</w:t>
      </w:r>
    </w:p>
    <w:p>
      <w:pPr>
        <w:pStyle w:val="Heading2"/>
      </w:pPr>
      <w:r>
        <w:t>Company Overview</w:t>
      </w:r>
    </w:p>
    <w:p>
      <w:r>
        <w:t>EcoTech Innovations is a startup founded in 2025, specializing in green tech. With a team of 15 experts in AI, environmental engineering, and software development, we've successfully piloted similar projects in three cities, achieving 40% efficiency gains in waste sorting. Our mission is to create scalable, eco-friendly solutions that benefit businesses and municipalities.</w:t>
      </w:r>
    </w:p>
    <w:p>
      <w:pPr>
        <w:pStyle w:val="Heading2"/>
      </w:pPr>
      <w:r>
        <w:t>Project Description</w:t>
      </w:r>
    </w:p>
    <w:p>
      <w:r>
        <w:t>The proposed project involves:</w:t>
      </w:r>
    </w:p>
    <w:p>
      <w:pPr>
        <w:pStyle w:val="ListBullet"/>
      </w:pPr>
      <w:r>
        <w:t>AI Sorting System: Automated machines using computer vision to separate recyclables at processing facilities.</w:t>
      </w:r>
    </w:p>
    <w:p>
      <w:pPr>
        <w:pStyle w:val="ListBullet"/>
      </w:pPr>
      <w:r>
        <w:t>Mobile App Integration: User-friendly app for residents to schedule pickups, track recycling impact, and earn rewards.</w:t>
      </w:r>
    </w:p>
    <w:p>
      <w:pPr>
        <w:pStyle w:val="ListBullet"/>
      </w:pPr>
      <w:r>
        <w:t>Implementation Phases:</w:t>
      </w:r>
    </w:p>
    <w:p>
      <w:r>
        <w:t>1. Research and Design (Months 1-3)</w:t>
      </w:r>
    </w:p>
    <w:p>
      <w:r>
        <w:t>2. Prototyping and Testing (Months 4-6)</w:t>
      </w:r>
    </w:p>
    <w:p>
      <w:r>
        <w:t>3. Deployment and Scaling (Months 7-12)</w:t>
      </w:r>
    </w:p>
    <w:p>
      <w:r>
        <w:t>This solution addresses the growing need for sustainable waste management, projected to be a $50 billion market by 2030.</w:t>
      </w:r>
    </w:p>
    <w:p>
      <w:pPr>
        <w:pStyle w:val="Heading2"/>
      </w:pPr>
      <w:r>
        <w:t>Market Analysis</w:t>
      </w:r>
    </w:p>
    <w:p>
      <w:r>
        <w:t>The urban waste management sector faces increasing regulatory pressure for sustainability. Key opportunities include:</w:t>
      </w:r>
    </w:p>
    <w:p>
      <w:pPr>
        <w:pStyle w:val="ListBullet"/>
      </w:pPr>
      <w:r>
        <w:t>Government incentives for green initiatives.</w:t>
      </w:r>
    </w:p>
    <w:p>
      <w:pPr>
        <w:pStyle w:val="ListBullet"/>
      </w:pPr>
      <w:r>
        <w:t>Rising consumer demand for eco-conscious brands.</w:t>
      </w:r>
    </w:p>
    <w:p>
      <w:pPr>
        <w:pStyle w:val="ListBullet"/>
      </w:pPr>
      <w:r>
        <w:t>Competitors: Traditional waste firms lag in tech integration; our AI edge provides a 30% cost advantage.</w:t>
      </w:r>
    </w:p>
    <w:p>
      <w:pPr>
        <w:pStyle w:val="Heading2"/>
      </w:pPr>
      <w:r>
        <w:t>Budget and Financial Projections</w:t>
      </w:r>
    </w:p>
    <w:p>
      <w:r>
        <w:t>Below is a detailed budget breakdown for the first year. Funding will cover development, marketing, and operations.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9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Estimated Cost (USD)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96"/>
          </w:tcPr>
          <w:p>
            <w:r>
              <w:t>Research &amp; Development</w:t>
            </w:r>
          </w:p>
        </w:tc>
        <w:tc>
          <w:tcPr>
            <w:tcW w:type="dxa" w:w="2196"/>
          </w:tcPr>
          <w:p>
            <w:r>
              <w:t>AI software and hardware prototyping</w:t>
            </w:r>
          </w:p>
        </w:tc>
        <w:tc>
          <w:tcPr>
            <w:tcW w:type="dxa" w:w="2196"/>
          </w:tcPr>
          <w:p>
            <w:r>
              <w:t>200,000</w:t>
            </w:r>
          </w:p>
        </w:tc>
        <w:tc>
          <w:tcPr>
            <w:tcW w:type="dxa" w:w="2196"/>
          </w:tcPr>
          <w:p>
            <w:r>
              <w:t>Includes team salaries and tools</w:t>
            </w:r>
          </w:p>
        </w:tc>
      </w:tr>
      <w:tr>
        <w:tc>
          <w:tcPr>
            <w:tcW w:type="dxa" w:w="2196"/>
          </w:tcPr>
          <w:p>
            <w:r>
              <w:t>Manufacturing</w:t>
            </w:r>
          </w:p>
        </w:tc>
        <w:tc>
          <w:tcPr>
            <w:tcW w:type="dxa" w:w="2196"/>
          </w:tcPr>
          <w:p>
            <w:r>
              <w:t>Production of sorting machines</w:t>
            </w:r>
          </w:p>
        </w:tc>
        <w:tc>
          <w:tcPr>
            <w:tcW w:type="dxa" w:w="2196"/>
          </w:tcPr>
          <w:p>
            <w:r>
              <w:t>150,000</w:t>
            </w:r>
          </w:p>
        </w:tc>
        <w:tc>
          <w:tcPr>
            <w:tcW w:type="dxa" w:w="2196"/>
          </w:tcPr>
          <w:p>
            <w:r>
              <w:t>Partnerships with local suppliers</w:t>
            </w:r>
          </w:p>
        </w:tc>
      </w:tr>
      <w:tr>
        <w:tc>
          <w:tcPr>
            <w:tcW w:type="dxa" w:w="2196"/>
          </w:tcPr>
          <w:p>
            <w:r>
              <w:t>Marketing &amp; Sales</w:t>
            </w:r>
          </w:p>
        </w:tc>
        <w:tc>
          <w:tcPr>
            <w:tcW w:type="dxa" w:w="2196"/>
          </w:tcPr>
          <w:p>
            <w:r>
              <w:t>App promotion and pilot launches</w:t>
            </w:r>
          </w:p>
        </w:tc>
        <w:tc>
          <w:tcPr>
            <w:tcW w:type="dxa" w:w="2196"/>
          </w:tcPr>
          <w:p>
            <w:r>
              <w:t>75,000</w:t>
            </w:r>
          </w:p>
        </w:tc>
        <w:tc>
          <w:tcPr>
            <w:tcW w:type="dxa" w:w="2196"/>
          </w:tcPr>
          <w:p>
            <w:r>
              <w:t>Digital campaigns and events</w:t>
            </w:r>
          </w:p>
        </w:tc>
      </w:tr>
      <w:tr>
        <w:tc>
          <w:tcPr>
            <w:tcW w:type="dxa" w:w="2196"/>
          </w:tcPr>
          <w:p>
            <w:r>
              <w:t>Operations</w:t>
            </w:r>
          </w:p>
        </w:tc>
        <w:tc>
          <w:tcPr>
            <w:tcW w:type="dxa" w:w="2196"/>
          </w:tcPr>
          <w:p>
            <w:r>
              <w:t>Facility setup and initial staffing</w:t>
            </w:r>
          </w:p>
        </w:tc>
        <w:tc>
          <w:tcPr>
            <w:tcW w:type="dxa" w:w="2196"/>
          </w:tcPr>
          <w:p>
            <w:r>
              <w:t>50,000</w:t>
            </w:r>
          </w:p>
        </w:tc>
        <w:tc>
          <w:tcPr>
            <w:tcW w:type="dxa" w:w="2196"/>
          </w:tcPr>
          <w:p>
            <w:r>
              <w:t>Overhead and utilities</w:t>
            </w:r>
          </w:p>
        </w:tc>
      </w:tr>
      <w:tr>
        <w:tc>
          <w:tcPr>
            <w:tcW w:type="dxa" w:w="2196"/>
          </w:tcPr>
          <w:p>
            <w:r>
              <w:t>Contingency</w:t>
            </w:r>
          </w:p>
        </w:tc>
        <w:tc>
          <w:tcPr>
            <w:tcW w:type="dxa" w:w="2196"/>
          </w:tcPr>
          <w:p>
            <w:r>
              <w:t>Unexpected expenses</w:t>
            </w:r>
          </w:p>
        </w:tc>
        <w:tc>
          <w:tcPr>
            <w:tcW w:type="dxa" w:w="2196"/>
          </w:tcPr>
          <w:p>
            <w:r>
              <w:t>25,000</w:t>
            </w:r>
          </w:p>
        </w:tc>
        <w:tc>
          <w:tcPr>
            <w:tcW w:type="dxa" w:w="2196"/>
          </w:tcPr>
          <w:p>
            <w:r>
              <w:t>5% buffer</w:t>
            </w:r>
          </w:p>
        </w:tc>
      </w:tr>
      <w:tr>
        <w:tc>
          <w:tcPr>
            <w:tcW w:type="dxa" w:w="2196"/>
          </w:tcPr>
          <w:p>
            <w:r>
              <w:t>Total</w:t>
            </w:r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>
              <w:t>500,000</w:t>
            </w:r>
          </w:p>
        </w:tc>
        <w:tc>
          <w:tcPr>
            <w:tcW w:type="dxa" w:w="2196"/>
          </w:tcPr>
          <w:p>
            <w:r/>
          </w:p>
        </w:tc>
      </w:tr>
    </w:tbl>
    <w:p/>
    <w:p>
      <w:r>
        <w:t>Financial projections indicate break-even within 18 months, with annual revenue of $1.2 million by Year 2 through service contracts and app subscriptions.</w:t>
      </w:r>
    </w:p>
    <w:p>
      <w:pPr>
        <w:pStyle w:val="Heading2"/>
      </w:pPr>
      <w:r>
        <w:t>Timeline</w:t>
      </w:r>
    </w:p>
    <w:p>
      <w:pPr>
        <w:pStyle w:val="ListBullet"/>
      </w:pPr>
      <w:r>
        <w:t>Q1 2026: Planning and funding acquisition.</w:t>
      </w:r>
    </w:p>
    <w:p>
      <w:pPr>
        <w:pStyle w:val="ListBullet"/>
      </w:pPr>
      <w:r>
        <w:t>Q2-Q3 2026: Development and testing.</w:t>
      </w:r>
    </w:p>
    <w:p>
      <w:pPr>
        <w:pStyle w:val="ListBullet"/>
      </w:pPr>
      <w:r>
        <w:t>Q4 2026: Launch in pilot city, with full rollout in 2027.</w:t>
      </w:r>
    </w:p>
    <w:p>
      <w:pPr>
        <w:pStyle w:val="Heading2"/>
      </w:pPr>
      <w:r>
        <w:t>Conclusion</w:t>
      </w:r>
    </w:p>
    <w:p>
      <w:r>
        <w:t>Partnering with EcoTech Innovations offers a high-impact investment in sustainability. We invite you to discuss this proposal further and explore customization options.</w:t>
      </w:r>
    </w:p>
    <w:p>
      <w:r>
        <w:t>Contact: Jane Doe, CEO | jane@ecotechinnovations.com | (555) 123-4567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