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879" w14:textId="394BC6B8" w:rsidR="00CE39D7" w:rsidRPr="00CE67A3" w:rsidRDefault="002D5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Mavzu: </w:t>
      </w:r>
      <w:r w:rsidR="00C655F3" w:rsidRPr="00CE67A3">
        <w:rPr>
          <w:rFonts w:ascii="Times New Roman" w:hAnsi="Times New Roman" w:cs="Times New Roman"/>
          <w:sz w:val="28"/>
          <w:szCs w:val="28"/>
          <w:lang w:val="en-US"/>
        </w:rPr>
        <w:t>Gipperxavola bilan ishlash.</w:t>
      </w:r>
    </w:p>
    <w:p w14:paraId="6DAD1783" w14:textId="77777777" w:rsidR="00CE67A3" w:rsidRPr="00CE67A3" w:rsidRDefault="00C655F3" w:rsidP="005156C1">
      <w:pPr>
        <w:pStyle w:val="a3"/>
        <w:shd w:val="clear" w:color="auto" w:fill="FFFFFF"/>
        <w:spacing w:before="288" w:after="288"/>
        <w:ind w:firstLine="708"/>
        <w:jc w:val="both"/>
        <w:rPr>
          <w:rFonts w:eastAsia="Times New Roman"/>
          <w:color w:val="000000"/>
          <w:sz w:val="28"/>
          <w:szCs w:val="28"/>
          <w:lang w:val="en-US" w:eastAsia="ru-RU"/>
        </w:rPr>
      </w:pPr>
      <w:r w:rsidRPr="00CE67A3">
        <w:rPr>
          <w:sz w:val="28"/>
          <w:szCs w:val="28"/>
          <w:lang w:val="en-US"/>
        </w:rPr>
        <w:t xml:space="preserve">Gipperxavola ya’ni biz o’tkan darsda o’tkanimiz singari </w:t>
      </w:r>
      <w:r w:rsidRPr="00CE67A3">
        <w:rPr>
          <w:b/>
          <w:bCs/>
          <w:sz w:val="28"/>
          <w:szCs w:val="28"/>
          <w:lang w:val="en-US"/>
        </w:rPr>
        <w:t xml:space="preserve">href=”” </w:t>
      </w:r>
      <w:r w:rsidRPr="00CE67A3">
        <w:rPr>
          <w:sz w:val="28"/>
          <w:szCs w:val="28"/>
          <w:lang w:val="en-US"/>
        </w:rPr>
        <w:t>ning ele</w:t>
      </w:r>
      <w:r w:rsidR="004271E8" w:rsidRPr="00CE67A3">
        <w:rPr>
          <w:sz w:val="28"/>
          <w:szCs w:val="28"/>
          <w:lang w:val="en-US"/>
        </w:rPr>
        <w:t xml:space="preserve">mentlari va ko’plab atributlarini ko’rib chiqamiz. </w:t>
      </w:r>
      <w:r w:rsidR="00CE67A3" w:rsidRPr="00CE67A3">
        <w:rPr>
          <w:rFonts w:eastAsia="Times New Roman"/>
          <w:color w:val="DC143C"/>
          <w:sz w:val="28"/>
          <w:szCs w:val="28"/>
          <w:lang w:val="en-US" w:eastAsia="ru-RU"/>
        </w:rPr>
        <w:t>target</w:t>
      </w:r>
      <w:r w:rsidR="00CE67A3" w:rsidRPr="00CE67A3">
        <w:rPr>
          <w:rFonts w:eastAsia="Times New Roman"/>
          <w:color w:val="000000"/>
          <w:sz w:val="28"/>
          <w:szCs w:val="28"/>
          <w:lang w:val="en-US" w:eastAsia="ru-RU"/>
        </w:rPr>
        <w:t>Atribut bog'langan hujjatni qaerda ochishni belgilaydi.</w:t>
      </w:r>
    </w:p>
    <w:p w14:paraId="246BE15F" w14:textId="77777777" w:rsidR="00CE67A3" w:rsidRPr="00CE67A3" w:rsidRDefault="00CE67A3" w:rsidP="00CE67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target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Atribut quyidagi qiymatlardan biriga ega bo'lishi mumkin:</w:t>
      </w:r>
    </w:p>
    <w:p w14:paraId="59B1B8D3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_self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Standart. Hujjatni bosilgan oynada/yorliqda ochadi</w:t>
      </w:r>
    </w:p>
    <w:p w14:paraId="120C6327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_blank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yangi oynada yoki yorliqda ochadi</w:t>
      </w:r>
    </w:p>
    <w:p w14:paraId="0044833F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_parent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ota-ona ramkasida ochadi</w:t>
      </w:r>
    </w:p>
    <w:p w14:paraId="5F6BC494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_top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oynaning to'liq qismida ochadi</w:t>
      </w:r>
    </w:p>
    <w:p w14:paraId="2B1357D6" w14:textId="14BFDEF3" w:rsidR="00C655F3" w:rsidRDefault="00CE67A3" w:rsidP="005156C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Bog'langan hujjatni yangi brauzer oynasida yoki yorlig'ida ochish uchun </w:t>
      </w:r>
      <w:r w:rsidRPr="00CE67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target="_blank"</w:t>
      </w: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 dan foydalani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ladi. </w:t>
      </w:r>
      <w:r w:rsidR="005156C1">
        <w:rPr>
          <w:rFonts w:ascii="Times New Roman" w:hAnsi="Times New Roman" w:cs="Times New Roman"/>
          <w:sz w:val="28"/>
          <w:szCs w:val="28"/>
          <w:lang w:val="en-US"/>
        </w:rPr>
        <w:t>Brauzerda bu sulni qo’lda qo’llash ham mumkin ya’ni CTRL hamda kursordan chap tugmani bosish orqali shu havolani alohida oynada ochish mumkin bo’ladi.</w:t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ADC" w:rsidRPr="00CA5AD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target_blank.html</w:t>
      </w:r>
    </w:p>
    <w:p w14:paraId="278F18FF" w14:textId="1A21C98C" w:rsidR="005156C1" w:rsidRDefault="005156C1" w:rsidP="005156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6C1">
        <w:rPr>
          <w:rFonts w:ascii="Times New Roman" w:hAnsi="Times New Roman" w:cs="Times New Roman"/>
          <w:sz w:val="28"/>
          <w:szCs w:val="28"/>
          <w:lang w:val="en-US"/>
        </w:rPr>
        <w:t>Mutlaq URL-lar va nisbiy URL-lar</w:t>
      </w:r>
    </w:p>
    <w:p w14:paraId="1D3DAF11" w14:textId="72C866A5" w:rsidR="005156C1" w:rsidRPr="00CE67A3" w:rsidRDefault="005156C1" w:rsidP="005156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Biz yuqorida ko’rgan usul mutlaq URL deb ataladi </w:t>
      </w:r>
      <w:r w:rsidR="000D44B6">
        <w:rPr>
          <w:rFonts w:ascii="Times New Roman" w:hAnsi="Times New Roman" w:cs="Times New Roman"/>
          <w:sz w:val="28"/>
          <w:szCs w:val="28"/>
          <w:lang w:val="en-US"/>
        </w:rPr>
        <w:t xml:space="preserve">ya’ni bu usulda URL manzil to’lliq kiritilinadi </w:t>
      </w:r>
    </w:p>
    <w:sectPr w:rsidR="005156C1" w:rsidRPr="00CE67A3" w:rsidSect="002D5593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0D"/>
    <w:multiLevelType w:val="multilevel"/>
    <w:tmpl w:val="346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3"/>
    <w:rsid w:val="000D44B6"/>
    <w:rsid w:val="002D5593"/>
    <w:rsid w:val="003C3764"/>
    <w:rsid w:val="004271E8"/>
    <w:rsid w:val="005156C1"/>
    <w:rsid w:val="008A57BD"/>
    <w:rsid w:val="00C655F3"/>
    <w:rsid w:val="00CA5ADC"/>
    <w:rsid w:val="00CC25AE"/>
    <w:rsid w:val="00CE39D7"/>
    <w:rsid w:val="00CE67A3"/>
    <w:rsid w:val="00D71FB6"/>
    <w:rsid w:val="00F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9E5"/>
  <w15:chartTrackingRefBased/>
  <w15:docId w15:val="{B3B12F0C-7E5B-4F7A-B9BD-89B674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2024-02-18T16:46:00Z</dcterms:created>
  <dcterms:modified xsi:type="dcterms:W3CDTF">2024-02-18T17:10:00Z</dcterms:modified>
</cp:coreProperties>
</file>