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AE39"/>
    <w:p w14:paraId="30C9789D"/>
    <w:p w14:paraId="5D2CE508"/>
    <w:p w14:paraId="208F1DF7"/>
    <w:p w14:paraId="6C3E1CEC">
      <w:pPr>
        <w:jc w:val="center"/>
        <w:rPr>
          <w:rFonts w:ascii="Bookman Old Style" w:hAnsi="Bookman Old Style" w:eastAsia="华文行楷"/>
          <w:b/>
          <w:sz w:val="120"/>
          <w:szCs w:val="120"/>
        </w:rPr>
      </w:pPr>
      <w:r>
        <w:rPr>
          <w:rFonts w:ascii="Britannic Bold" w:hAnsi="Britannic Bold" w:eastAsia="华文行楷"/>
          <w:sz w:val="120"/>
          <w:szCs w:val="120"/>
        </w:rPr>
        <w:t>数字高程模型</w:t>
      </w:r>
    </w:p>
    <w:p w14:paraId="2C78DD8A">
      <w:pPr>
        <w:jc w:val="center"/>
        <w:rPr>
          <w:rFonts w:ascii="华文琥珀" w:eastAsia="华文琥珀"/>
          <w:sz w:val="72"/>
          <w:szCs w:val="72"/>
        </w:rPr>
      </w:pPr>
      <w:r>
        <w:rPr>
          <w:rFonts w:hint="eastAsia" w:ascii="华文琥珀" w:eastAsia="华文琥珀"/>
          <w:sz w:val="72"/>
          <w:szCs w:val="72"/>
        </w:rPr>
        <w:t>实验报告</w:t>
      </w:r>
    </w:p>
    <w:p w14:paraId="04F92A6A">
      <w:pPr>
        <w:rPr>
          <w:sz w:val="44"/>
          <w:szCs w:val="44"/>
        </w:rPr>
      </w:pPr>
    </w:p>
    <w:p w14:paraId="7B20B0D6">
      <w:pPr>
        <w:rPr>
          <w:sz w:val="44"/>
          <w:szCs w:val="44"/>
        </w:rPr>
      </w:pPr>
    </w:p>
    <w:p w14:paraId="5B2BA62B">
      <w:pPr>
        <w:rPr>
          <w:sz w:val="44"/>
          <w:szCs w:val="44"/>
        </w:rPr>
      </w:pPr>
    </w:p>
    <w:p w14:paraId="577D7A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 </w:t>
      </w:r>
    </w:p>
    <w:p w14:paraId="1818BFF6">
      <w:pPr>
        <w:snapToGrid w:val="0"/>
        <w:spacing w:line="360" w:lineRule="auto"/>
        <w:rPr>
          <w:rFonts w:ascii="楷体" w:hAnsi="楷体" w:eastAsia="楷体"/>
          <w:sz w:val="48"/>
          <w:szCs w:val="48"/>
        </w:rPr>
      </w:pPr>
      <w:r>
        <w:rPr>
          <w:rFonts w:hint="eastAsia"/>
          <w:sz w:val="48"/>
          <w:szCs w:val="48"/>
        </w:rPr>
        <w:t xml:space="preserve">  </w:t>
      </w:r>
      <w:r>
        <w:rPr>
          <w:rFonts w:hint="eastAsia" w:ascii="楷体" w:hAnsi="楷体" w:eastAsia="楷体"/>
          <w:sz w:val="48"/>
          <w:szCs w:val="48"/>
        </w:rPr>
        <w:t xml:space="preserve"> 姓  名：</w:t>
      </w:r>
      <w:r>
        <w:rPr>
          <w:rFonts w:ascii="楷体" w:hAnsi="楷体" w:eastAsia="楷体"/>
          <w:sz w:val="48"/>
          <w:szCs w:val="48"/>
        </w:rPr>
        <w:t>___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>__</w:t>
      </w:r>
      <w:r>
        <w:rPr>
          <w:rFonts w:ascii="楷体" w:hAnsi="楷体" w:eastAsia="楷体"/>
          <w:sz w:val="48"/>
          <w:szCs w:val="48"/>
        </w:rPr>
        <w:t>_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>许愿</w:t>
      </w:r>
      <w:r>
        <w:rPr>
          <w:rFonts w:ascii="楷体" w:hAnsi="楷体" w:eastAsia="楷体"/>
          <w:sz w:val="48"/>
          <w:szCs w:val="48"/>
        </w:rPr>
        <w:t>______</w:t>
      </w:r>
    </w:p>
    <w:p w14:paraId="14923AA3">
      <w:pPr>
        <w:snapToGrid w:val="0"/>
        <w:spacing w:line="360" w:lineRule="auto"/>
        <w:ind w:firstLine="720" w:firstLineChars="150"/>
        <w:rPr>
          <w:rFonts w:ascii="楷体" w:hAnsi="楷体" w:eastAsia="楷体"/>
          <w:sz w:val="48"/>
          <w:szCs w:val="48"/>
        </w:rPr>
      </w:pPr>
      <w:r>
        <w:rPr>
          <w:rFonts w:hint="eastAsia" w:ascii="楷体" w:hAnsi="楷体" w:eastAsia="楷体"/>
          <w:sz w:val="48"/>
          <w:szCs w:val="48"/>
        </w:rPr>
        <w:t>学  号：</w:t>
      </w:r>
      <w:r>
        <w:rPr>
          <w:rFonts w:ascii="楷体" w:hAnsi="楷体" w:eastAsia="楷体"/>
          <w:sz w:val="48"/>
          <w:szCs w:val="48"/>
        </w:rPr>
        <w:t>___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>109090000000</w:t>
      </w:r>
      <w:bookmarkStart w:id="0" w:name="_GoBack"/>
      <w:bookmarkEnd w:id="0"/>
      <w:r>
        <w:rPr>
          <w:rFonts w:ascii="楷体" w:hAnsi="楷体" w:eastAsia="楷体"/>
          <w:sz w:val="48"/>
          <w:szCs w:val="48"/>
        </w:rPr>
        <w:t>___</w:t>
      </w:r>
    </w:p>
    <w:p w14:paraId="364AD28B">
      <w:pPr>
        <w:snapToGrid w:val="0"/>
        <w:spacing w:line="360" w:lineRule="auto"/>
        <w:ind w:firstLine="720" w:firstLineChars="150"/>
        <w:rPr>
          <w:rFonts w:ascii="楷体" w:hAnsi="楷体" w:eastAsia="楷体"/>
          <w:sz w:val="48"/>
          <w:szCs w:val="48"/>
        </w:rPr>
      </w:pPr>
      <w:r>
        <w:rPr>
          <w:rFonts w:hint="eastAsia" w:ascii="楷体" w:hAnsi="楷体" w:eastAsia="楷体"/>
          <w:sz w:val="48"/>
          <w:szCs w:val="48"/>
        </w:rPr>
        <w:t>专  业：</w:t>
      </w:r>
      <w:r>
        <w:rPr>
          <w:rFonts w:ascii="楷体" w:hAnsi="楷体" w:eastAsia="楷体"/>
          <w:sz w:val="48"/>
          <w:szCs w:val="48"/>
        </w:rPr>
        <w:t>___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>地理信息科学</w:t>
      </w:r>
      <w:r>
        <w:rPr>
          <w:rFonts w:ascii="楷体" w:hAnsi="楷体" w:eastAsia="楷体"/>
          <w:sz w:val="48"/>
          <w:szCs w:val="48"/>
        </w:rPr>
        <w:t>___</w:t>
      </w:r>
    </w:p>
    <w:p w14:paraId="62BE7065">
      <w:pPr>
        <w:snapToGrid w:val="0"/>
        <w:spacing w:line="360" w:lineRule="auto"/>
        <w:ind w:firstLine="720" w:firstLineChars="150"/>
        <w:rPr>
          <w:rFonts w:ascii="楷体" w:hAnsi="楷体" w:eastAsia="楷体"/>
          <w:sz w:val="48"/>
          <w:szCs w:val="48"/>
        </w:rPr>
      </w:pPr>
      <w:r>
        <w:rPr>
          <w:rFonts w:hint="eastAsia" w:ascii="楷体" w:hAnsi="楷体" w:eastAsia="楷体"/>
          <w:sz w:val="48"/>
          <w:szCs w:val="48"/>
        </w:rPr>
        <w:t>年  级：</w:t>
      </w:r>
      <w:r>
        <w:rPr>
          <w:rFonts w:ascii="楷体" w:hAnsi="楷体" w:eastAsia="楷体"/>
          <w:sz w:val="48"/>
          <w:szCs w:val="48"/>
        </w:rPr>
        <w:t>_____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>2023级</w:t>
      </w:r>
      <w:r>
        <w:rPr>
          <w:rFonts w:ascii="楷体" w:hAnsi="楷体" w:eastAsia="楷体"/>
          <w:sz w:val="48"/>
          <w:szCs w:val="48"/>
        </w:rPr>
        <w:t>______</w:t>
      </w:r>
    </w:p>
    <w:p w14:paraId="018AE279">
      <w:pPr>
        <w:rPr>
          <w:rFonts w:ascii="楷体" w:hAnsi="楷体" w:eastAsia="楷体"/>
          <w:sz w:val="48"/>
          <w:szCs w:val="48"/>
        </w:rPr>
      </w:pPr>
    </w:p>
    <w:p w14:paraId="478E6AD6">
      <w:pPr>
        <w:rPr>
          <w:rFonts w:ascii="楷体" w:hAnsi="楷体" w:eastAsia="楷体"/>
          <w:sz w:val="48"/>
          <w:szCs w:val="48"/>
        </w:rPr>
      </w:pPr>
    </w:p>
    <w:p w14:paraId="1D44BD00">
      <w:pPr>
        <w:jc w:val="center"/>
        <w:rPr>
          <w:rFonts w:ascii="楷体" w:hAnsi="楷体" w:eastAsia="楷体"/>
          <w:sz w:val="48"/>
          <w:szCs w:val="48"/>
        </w:rPr>
      </w:pPr>
      <w:r>
        <w:rPr>
          <w:rFonts w:ascii="楷体" w:hAnsi="楷体" w:eastAsia="楷体"/>
          <w:sz w:val="48"/>
          <w:szCs w:val="48"/>
        </w:rPr>
        <w:t>20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 xml:space="preserve">26 </w:t>
      </w:r>
      <w:r>
        <w:rPr>
          <w:rFonts w:hint="eastAsia" w:ascii="楷体" w:hAnsi="楷体" w:eastAsia="楷体"/>
          <w:sz w:val="48"/>
          <w:szCs w:val="48"/>
        </w:rPr>
        <w:t>年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 xml:space="preserve"> 1 </w:t>
      </w:r>
      <w:r>
        <w:rPr>
          <w:rFonts w:ascii="楷体" w:hAnsi="楷体" w:eastAsia="楷体"/>
          <w:sz w:val="48"/>
          <w:szCs w:val="48"/>
        </w:rPr>
        <w:t>月</w:t>
      </w:r>
    </w:p>
    <w:p w14:paraId="62B0E8D8">
      <w:pPr>
        <w:jc w:val="center"/>
        <w:rPr>
          <w:rFonts w:ascii="楷体" w:hAnsi="楷体" w:eastAsia="楷体"/>
          <w:sz w:val="48"/>
          <w:szCs w:val="48"/>
        </w:rPr>
      </w:pPr>
    </w:p>
    <w:p w14:paraId="36C150E9">
      <w:pPr>
        <w:jc w:val="center"/>
        <w:rPr>
          <w:rFonts w:ascii="楷体" w:hAnsi="楷体" w:eastAsia="楷体"/>
          <w:sz w:val="48"/>
          <w:szCs w:val="48"/>
        </w:rPr>
      </w:pPr>
    </w:p>
    <w:p w14:paraId="422077EC">
      <w:pPr>
        <w:jc w:val="center"/>
        <w:rPr>
          <w:rFonts w:ascii="楷体" w:hAnsi="楷体" w:eastAsia="楷体"/>
          <w:sz w:val="48"/>
          <w:szCs w:val="48"/>
        </w:rPr>
      </w:pPr>
    </w:p>
    <w:p w14:paraId="0C4D12B4">
      <w:pPr>
        <w:jc w:val="center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</w:rPr>
        <w:t>实验</w:t>
      </w:r>
      <w:r>
        <w:rPr>
          <w:rFonts w:hint="eastAsia" w:ascii="楷体" w:hAnsi="楷体" w:eastAsia="楷体"/>
          <w:sz w:val="36"/>
          <w:szCs w:val="36"/>
          <w:lang w:val="en-US" w:eastAsia="zh-CN"/>
        </w:rPr>
        <w:t>五 明暗等高线提取</w:t>
      </w:r>
    </w:p>
    <w:p w14:paraId="0F9C4841">
      <w:pPr>
        <w:rPr>
          <w:rFonts w:ascii="楷体" w:hAnsi="楷体" w:eastAsia="楷体"/>
          <w:sz w:val="36"/>
          <w:szCs w:val="36"/>
        </w:rPr>
      </w:pPr>
    </w:p>
    <w:p w14:paraId="19D3EFAD">
      <w:pPr>
        <w:pStyle w:val="14"/>
        <w:numPr>
          <w:ilvl w:val="0"/>
          <w:numId w:val="1"/>
        </w:numPr>
        <w:spacing w:line="360" w:lineRule="auto"/>
        <w:ind w:firstLineChars="0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实验内容与目的</w:t>
      </w:r>
    </w:p>
    <w:p w14:paraId="7651A40C">
      <w:pPr>
        <w:pStyle w:val="14"/>
        <w:numPr>
          <w:ilvl w:val="0"/>
          <w:numId w:val="2"/>
        </w:numPr>
        <w:spacing w:line="360" w:lineRule="auto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default" w:eastAsia="黑体"/>
          <w:sz w:val="21"/>
          <w:szCs w:val="21"/>
          <w:lang w:val="en-US" w:eastAsia="zh-CN"/>
        </w:rPr>
        <w:t>实验内容</w:t>
      </w:r>
    </w:p>
    <w:p w14:paraId="7E26186C">
      <w:pPr>
        <w:pStyle w:val="14"/>
        <w:numPr>
          <w:ilvl w:val="0"/>
          <w:numId w:val="0"/>
        </w:numPr>
        <w:spacing w:line="360" w:lineRule="auto"/>
        <w:ind w:firstLine="420" w:firstLineChars="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default" w:eastAsia="黑体"/>
          <w:sz w:val="21"/>
          <w:szCs w:val="21"/>
          <w:lang w:val="en-US" w:eastAsia="zh-CN"/>
        </w:rPr>
        <w:t>本实验主要利用数字高程模型（DEM）数据，基于ArcGIS软件平台进行地形分析与制图综合处理。具体内容</w:t>
      </w:r>
      <w:r>
        <w:rPr>
          <w:rFonts w:hint="eastAsia" w:eastAsia="黑体"/>
          <w:sz w:val="21"/>
          <w:szCs w:val="21"/>
          <w:lang w:val="en-US" w:eastAsia="zh-CN"/>
        </w:rPr>
        <w:t>主要为</w:t>
      </w:r>
      <w:r>
        <w:rPr>
          <w:rFonts w:hint="default" w:eastAsia="黑体"/>
          <w:sz w:val="21"/>
          <w:szCs w:val="21"/>
          <w:lang w:val="en-US" w:eastAsia="zh-CN"/>
        </w:rPr>
        <w:t>：</w:t>
      </w:r>
    </w:p>
    <w:p w14:paraId="482CD468">
      <w:pPr>
        <w:pStyle w:val="14"/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基础数据处理：加载DEM数据，提取等高线并将其转换为栅格数据。</w:t>
      </w:r>
    </w:p>
    <w:p w14:paraId="4965B10A">
      <w:pPr>
        <w:pStyle w:val="14"/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地形参数提取：利用DEM数据提取坡向信息，用于后续判断受光面与背光面。</w:t>
      </w:r>
    </w:p>
    <w:p w14:paraId="674FC48E">
      <w:pPr>
        <w:pStyle w:val="14"/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明暗等高线生成：通过栅格计算器将等高线与坡向数据结合，利用重分类技术区分光照方向（受光面与背光面），赋予等高线不同的灰度值（黑/白），配合背景底色，利用视觉错觉原理生成具有立体感的明暗等高线图。</w:t>
      </w:r>
    </w:p>
    <w:p w14:paraId="52DBE162">
      <w:pPr>
        <w:pStyle w:val="14"/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地理建模：使用模型构建器将上述处理流程构建为自动化模型，实现流程的标准化和自动化。</w:t>
      </w:r>
    </w:p>
    <w:p w14:paraId="6A3037D3">
      <w:pPr>
        <w:pStyle w:val="14"/>
        <w:numPr>
          <w:ilvl w:val="0"/>
          <w:numId w:val="2"/>
        </w:numPr>
        <w:spacing w:line="360" w:lineRule="auto"/>
        <w:ind w:left="0" w:leftChars="0" w:firstLine="420" w:firstLineChars="20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实验目的</w:t>
      </w:r>
    </w:p>
    <w:p w14:paraId="6840A536">
      <w:pPr>
        <w:pStyle w:val="14"/>
        <w:numPr>
          <w:ilvl w:val="0"/>
          <w:numId w:val="4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掌握利用DEM数据提取等高线、坡向等基础地形因子的方法。</w:t>
      </w:r>
    </w:p>
    <w:p w14:paraId="58F6860E">
      <w:pPr>
        <w:pStyle w:val="14"/>
        <w:numPr>
          <w:ilvl w:val="0"/>
          <w:numId w:val="4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熟练运用ArcGIS的Spatial Analyst模块中的栅格计算器、重分类和要素转栅格等工具进行地图代数运算。</w:t>
      </w:r>
    </w:p>
    <w:p w14:paraId="3F404CF2">
      <w:pPr>
        <w:pStyle w:val="14"/>
        <w:numPr>
          <w:ilvl w:val="0"/>
          <w:numId w:val="4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理解并掌握明暗等高线的制作原理，通过模拟光照效果，利用视觉错觉增强等高线地图的三维地形表现力。</w:t>
      </w:r>
    </w:p>
    <w:p w14:paraId="5CC64FB2">
      <w:pPr>
        <w:pStyle w:val="14"/>
        <w:numPr>
          <w:ilvl w:val="0"/>
          <w:numId w:val="4"/>
        </w:numPr>
        <w:spacing w:line="360" w:lineRule="auto"/>
        <w:ind w:leftChars="20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学习使用模型构建器优化地理处理工作流，提升数据处理效率。</w:t>
      </w:r>
    </w:p>
    <w:p w14:paraId="058C6920">
      <w:pPr>
        <w:pStyle w:val="14"/>
        <w:numPr>
          <w:ilvl w:val="0"/>
          <w:numId w:val="1"/>
        </w:numPr>
        <w:spacing w:line="360" w:lineRule="auto"/>
        <w:ind w:firstLineChars="0"/>
        <w:rPr>
          <w:rFonts w:eastAsia="黑体"/>
          <w:sz w:val="28"/>
          <w:szCs w:val="28"/>
        </w:rPr>
      </w:pPr>
      <w:r>
        <w:rPr>
          <w:rFonts w:hint="eastAsia" w:ascii="Times New Roman" w:hAnsi="Times New Roman" w:eastAsia="黑体"/>
          <w:sz w:val="28"/>
          <w:szCs w:val="28"/>
        </w:rPr>
        <w:t>实验数据与流程</w:t>
      </w:r>
    </w:p>
    <w:p w14:paraId="2C468113">
      <w:pPr>
        <w:pStyle w:val="14"/>
        <w:numPr>
          <w:ilvl w:val="0"/>
          <w:numId w:val="5"/>
        </w:numPr>
        <w:spacing w:line="360" w:lineRule="auto"/>
        <w:rPr>
          <w:rFonts w:hint="eastAsia"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>实验数据</w:t>
      </w:r>
    </w:p>
    <w:p w14:paraId="2472C9B7">
      <w:pPr>
        <w:pStyle w:val="14"/>
        <w:numPr>
          <w:ilvl w:val="0"/>
          <w:numId w:val="0"/>
        </w:numPr>
        <w:spacing w:line="360" w:lineRule="auto"/>
        <w:ind w:firstLine="840" w:firstLineChars="40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</w:rPr>
        <w:t>本实验采用课程实验指导书中提供的</w:t>
      </w:r>
      <w:r>
        <w:rPr>
          <w:rFonts w:hint="eastAsia" w:eastAsia="黑体"/>
          <w:sz w:val="21"/>
          <w:szCs w:val="21"/>
          <w:lang w:val="en-US" w:eastAsia="zh-CN"/>
        </w:rPr>
        <w:t>DEM</w:t>
      </w:r>
      <w:r>
        <w:rPr>
          <w:rFonts w:hint="eastAsia" w:eastAsia="黑体"/>
          <w:sz w:val="21"/>
          <w:szCs w:val="21"/>
        </w:rPr>
        <w:t>数据文件</w:t>
      </w:r>
      <w:r>
        <w:rPr>
          <w:rFonts w:hint="eastAsia" w:eastAsia="黑体"/>
          <w:sz w:val="21"/>
          <w:szCs w:val="21"/>
          <w:lang w:val="en-US" w:eastAsia="zh-CN"/>
        </w:rPr>
        <w:t>ex9\dem。</w:t>
      </w:r>
    </w:p>
    <w:p w14:paraId="2E97AFE1">
      <w:pPr>
        <w:pStyle w:val="14"/>
        <w:numPr>
          <w:ilvl w:val="0"/>
          <w:numId w:val="5"/>
        </w:numPr>
        <w:spacing w:line="360" w:lineRule="auto"/>
        <w:ind w:left="0" w:leftChars="0" w:firstLine="420" w:firstLineChars="200"/>
        <w:rPr>
          <w:rFonts w:hint="eastAsia"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>实验流程</w:t>
      </w:r>
    </w:p>
    <w:p w14:paraId="595336F2">
      <w:pPr>
        <w:pStyle w:val="14"/>
        <w:numPr>
          <w:ilvl w:val="0"/>
          <w:numId w:val="6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数据准备与等高线提取：加载原始DEM数据，使用【等值线】工具提取间距为50米的等高线，并使用【要素转栅格】工具将其转换为栅格数据，且将属性归一化（重分类为1）以便后续计算。</w:t>
      </w:r>
    </w:p>
    <w:p w14:paraId="00F2EB51">
      <w:pPr>
        <w:pStyle w:val="14"/>
        <w:numPr>
          <w:ilvl w:val="0"/>
          <w:numId w:val="6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坡向提取与光照面判断：利用原始DEM数据提取坡向。设定东南方（</w:t>
      </w:r>
      <m:oMath>
        <m:r>
          <m:rPr/>
          <w:rPr>
            <w:rFonts w:hint="default" w:ascii="Cambria Math" w:hAnsi="Cambria Math" w:eastAsia="黑体"/>
            <w:sz w:val="21"/>
            <w:lang w:val="en-US" w:eastAsia="zh-CN"/>
          </w:rPr>
          <m:t>135</m:t>
        </m:r>
        <m:r>
          <m:rPr/>
          <w:rPr>
            <w:rFonts w:hint="default" w:ascii="Cambria Math" w:hAnsi="Cambria Math" w:eastAsia="黑体"/>
            <w:sz w:val="21"/>
          </w:rPr>
          <m:t>−3</m:t>
        </m:r>
        <m:r>
          <m:rPr/>
          <w:rPr>
            <w:rFonts w:hint="default" w:ascii="Cambria Math" w:hAnsi="Cambria Math" w:eastAsia="黑体"/>
            <w:sz w:val="21"/>
            <w:lang w:val="en-US" w:eastAsia="zh-CN"/>
          </w:rPr>
          <m:t>1</m:t>
        </m:r>
        <m:sSup>
          <m:sSupPr>
            <m:ctrlPr>
              <w:rPr>
                <w:rFonts w:hint="default" w:ascii="Cambria Math" w:hAnsi="Cambria Math" w:eastAsia="黑体"/>
                <w:sz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黑体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="黑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1"/>
              </w:rPr>
              <m:t>∘</m:t>
            </m:r>
            <m:ctrlPr>
              <w:rPr>
                <w:rFonts w:ascii="Cambria Math" w:hAnsi="Cambria Math" w:eastAsia="黑体"/>
                <w:sz w:val="21"/>
              </w:rPr>
            </m:ctrlPr>
          </m:sup>
        </m:sSup>
      </m:oMath>
      <w:r>
        <w:rPr>
          <w:rFonts w:hint="eastAsia" w:eastAsia="黑体"/>
          <w:sz w:val="21"/>
          <w:szCs w:val="21"/>
          <w:lang w:val="en-US" w:eastAsia="zh-CN"/>
        </w:rPr>
        <w:t>）为背光方向，其余方向为受光方向。</w:t>
      </w:r>
    </w:p>
    <w:p w14:paraId="29047445">
      <w:pPr>
        <w:pStyle w:val="14"/>
        <w:numPr>
          <w:ilvl w:val="0"/>
          <w:numId w:val="6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地图代数运算，赋予等高线坡向属性：使用【栅格计算器】将归一化后的等高线栅格与坡向栅格相乘，使等高线栅格具备坡向数值。</w:t>
      </w:r>
    </w:p>
    <w:p w14:paraId="5DE6FD76">
      <w:pPr>
        <w:pStyle w:val="14"/>
        <w:numPr>
          <w:ilvl w:val="0"/>
          <w:numId w:val="6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明暗分类与色彩配置：对带有坡向属性的等高线进行【重分类】，将背光方向（</w:t>
      </w:r>
      <m:oMath>
        <m:r>
          <m:rPr/>
          <w:rPr>
            <w:rFonts w:hint="default" w:ascii="Cambria Math" w:hAnsi="Cambria Math" w:eastAsia="黑体"/>
            <w:sz w:val="21"/>
            <w:lang w:val="en-US" w:eastAsia="zh-CN"/>
          </w:rPr>
          <m:t>135</m:t>
        </m:r>
        <m:r>
          <m:rPr/>
          <w:rPr>
            <w:rFonts w:hint="default" w:ascii="Cambria Math" w:hAnsi="Cambria Math" w:eastAsia="黑体"/>
            <w:sz w:val="21"/>
          </w:rPr>
          <m:t>−3</m:t>
        </m:r>
        <m:r>
          <m:rPr/>
          <w:rPr>
            <w:rFonts w:hint="default" w:ascii="Cambria Math" w:hAnsi="Cambria Math" w:eastAsia="黑体"/>
            <w:sz w:val="21"/>
            <w:lang w:val="en-US" w:eastAsia="zh-CN"/>
          </w:rPr>
          <m:t>1</m:t>
        </m:r>
        <m:sSup>
          <m:sSupPr>
            <m:ctrlPr>
              <w:rPr>
                <w:rFonts w:hint="default" w:ascii="Cambria Math" w:hAnsi="Cambria Math" w:eastAsia="黑体"/>
                <w:sz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黑体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="黑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1"/>
              </w:rPr>
              <m:t>∘</m:t>
            </m:r>
            <m:ctrlPr>
              <w:rPr>
                <w:rFonts w:ascii="Cambria Math" w:hAnsi="Cambria Math" w:eastAsia="黑体"/>
                <w:sz w:val="21"/>
              </w:rPr>
            </m:ctrlPr>
          </m:sup>
        </m:sSup>
      </m:oMath>
      <w:r>
        <w:rPr>
          <w:rFonts w:hint="eastAsia" w:eastAsia="黑体"/>
          <w:sz w:val="21"/>
          <w:szCs w:val="21"/>
          <w:lang w:val="en-US" w:eastAsia="zh-CN"/>
        </w:rPr>
        <w:t>）赋值为1（设置为黑色），受光方向赋值为0（设置为白色），同时提取DEM大于等于0的区域作为背景并设置为灰色。</w:t>
      </w:r>
    </w:p>
    <w:p w14:paraId="4E6CC3A3">
      <w:pPr>
        <w:pStyle w:val="14"/>
        <w:numPr>
          <w:ilvl w:val="0"/>
          <w:numId w:val="6"/>
        </w:numPr>
        <w:spacing w:line="360" w:lineRule="auto"/>
        <w:ind w:leftChars="200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图层叠加与显示：将处理好的黑色（背光）和白色（受光）等高线叠加在灰色背景之上，调整图层顺序，形成具有立体感的明暗等高线效果。</w:t>
      </w:r>
    </w:p>
    <w:p w14:paraId="51E76B1E">
      <w:pPr>
        <w:pStyle w:val="14"/>
        <w:numPr>
          <w:ilvl w:val="0"/>
          <w:numId w:val="6"/>
        </w:numPr>
        <w:spacing w:line="360" w:lineRule="auto"/>
        <w:ind w:leftChars="200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模型构建、自动化：利用模型构建器将上述“等值线 - 要素转栅格 - 坡向 - 栅格计算器 - 重分类”的逻辑串联起来，构建自动化处理模型。</w:t>
      </w:r>
    </w:p>
    <w:p w14:paraId="321EE331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eastAsia="黑体"/>
          <w:sz w:val="28"/>
          <w:szCs w:val="28"/>
        </w:rPr>
      </w:pPr>
      <w:r>
        <w:rPr>
          <w:rFonts w:hint="eastAsia" w:ascii="Times New Roman" w:hAnsi="Times New Roman" w:eastAsia="黑体"/>
          <w:sz w:val="28"/>
          <w:szCs w:val="28"/>
        </w:rPr>
        <w:t>实验步骤及结果</w:t>
      </w:r>
    </w:p>
    <w:p w14:paraId="2A7AAF03">
      <w:pPr>
        <w:pStyle w:val="14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常规方法提取明暗等高线</w:t>
      </w:r>
    </w:p>
    <w:p w14:paraId="58809B0D">
      <w:pPr>
        <w:pStyle w:val="1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数据预处理与等高线提取</w:t>
      </w:r>
    </w:p>
    <w:p w14:paraId="1F599E74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启动ArcMap，加载实验数据dem。</w:t>
      </w:r>
    </w:p>
    <w:p w14:paraId="4A9BDCCF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960" cy="329438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211B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在ArcToolbox中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依次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选择【3D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【栅格表面】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【等值线】。输入栅格选择 dem，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输出折线要素设置为dgx.shp，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设置等值线间距为50，其余参数保持默认，点击确定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生成等高线矢量图层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</w:t>
      </w:r>
    </w:p>
    <w:p w14:paraId="5C336B2B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441065" cy="1774190"/>
            <wp:effectExtent l="0" t="0" r="698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183255"/>
            <wp:effectExtent l="0" t="0" r="1206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BD72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为了进行后续的栅格运算，需将矢量等高线转换为栅格。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在ArcToolbox中依次选择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【转换工具】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【转为栅格】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【要素转栅格】。输入要素为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刚刚生成的dgx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，字段选择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ID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输出栅格设置为rdgx，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输出像元大小保持默认，生成栅格文件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rdgx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</w:t>
      </w:r>
    </w:p>
    <w:p w14:paraId="2049C39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62705" cy="1991360"/>
            <wp:effectExtent l="0" t="0" r="444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9285" cy="2670175"/>
            <wp:effectExtent l="0" t="0" r="1841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297A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为统一等高线属性以便于赋值，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需要在ArcToolbox中依次选择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【重分类】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-【重分类】，使用重分类工具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对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rdgx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进行处理。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输入栅格设置为rdgx，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将所有旧值映射的新值统一设置为1，输出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栅格设置为rdgx_re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</w:t>
      </w:r>
    </w:p>
    <w:p w14:paraId="3C6887C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237865" cy="2562860"/>
            <wp:effectExtent l="0" t="0" r="6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9900" cy="2561590"/>
            <wp:effectExtent l="0" t="0" r="635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AC7C">
      <w:pPr>
        <w:pStyle w:val="1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坡向提取</w:t>
      </w:r>
    </w:p>
    <w:p w14:paraId="4AB15ED7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利用DEM数据计算坡向，作为判断光照面的依据。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在ArcToolbox中依次选择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【表面分析】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【坡向】。</w:t>
      </w:r>
    </w:p>
    <w:p w14:paraId="008917C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输入栅格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设置为dem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，方法选择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默认的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PLANAR（平面），单位选择 METER，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输出栅格设置为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dem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_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aspect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，生成坡向栅格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dem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_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aspect。</w:t>
      </w:r>
    </w:p>
    <w:p w14:paraId="241B053B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945890" cy="1966595"/>
            <wp:effectExtent l="0" t="0" r="1651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C45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195320"/>
            <wp:effectExtent l="0" t="0" r="444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29F9">
      <w:pPr>
        <w:pStyle w:val="1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赋予等高线坡向属性</w:t>
      </w:r>
    </w:p>
    <w:p w14:paraId="5C47C1B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利用栅格计算器将归一化后的等高线与坡向数据结合。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在ArcToolbox中依次选择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【地图代数】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【栅格计算器】。输入公式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</w:t>
      </w:r>
      <w:r>
        <w:rPr>
          <w:rFonts w:hint="default" w:ascii="Times New Roman" w:hAnsi="Times New Roman" w:eastAsia="黑体"/>
          <w:color w:val="0000FF"/>
          <w:sz w:val="21"/>
          <w:szCs w:val="21"/>
          <w:lang w:val="en-US" w:eastAsia="zh-CN"/>
        </w:rPr>
        <w:t>"rdgx_re" * "dem_aspect"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，输出栅格设置为re_asp。点击确定。结果如图所示。</w:t>
      </w:r>
    </w:p>
    <w:p w14:paraId="61F4B9F6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433445" cy="2273300"/>
            <wp:effectExtent l="0" t="0" r="1460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932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该步骤通过乘法运算，将坡向栅格的像元值赋给了等高线栅格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非等高线区域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会因为值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为NoData或0而被过滤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。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输出结果re_asp为带有坡向数值（范围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为</w:t>
      </w:r>
      <m:oMath>
        <m:r>
          <m:rPr/>
          <w:rPr>
            <w:rFonts w:hint="default" w:ascii="Cambria Math" w:hAnsi="Cambria Math" w:eastAsia="黑体"/>
            <w:sz w:val="21"/>
          </w:rPr>
          <m:t>0−36</m:t>
        </m:r>
        <m:sSup>
          <m:sSupPr>
            <m:ctrlPr>
              <w:rPr>
                <w:rFonts w:hint="default" w:ascii="Cambria Math" w:hAnsi="Cambria Math" w:eastAsia="黑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黑体"/>
                <w:sz w:val="21"/>
              </w:rPr>
              <m:t>0</m:t>
            </m:r>
            <m:ctrlPr>
              <w:rPr>
                <w:rFonts w:ascii="Cambria Math" w:hAnsi="Cambria Math" w:eastAsia="黑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1"/>
              </w:rPr>
              <m:t>∘</m:t>
            </m:r>
            <m:ctrlPr>
              <w:rPr>
                <w:rFonts w:ascii="Cambria Math" w:hAnsi="Cambria Math" w:eastAsia="黑体"/>
                <w:sz w:val="21"/>
              </w:rPr>
            </m:ctrlPr>
          </m:sup>
        </m:sSup>
      </m:oMath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）的等高线图层。</w:t>
      </w:r>
    </w:p>
    <w:p w14:paraId="5B27E8C6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308610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A43D">
      <w:pPr>
        <w:pStyle w:val="1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明暗分类与背景提取</w:t>
      </w:r>
    </w:p>
    <w:p w14:paraId="360B0D5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设定东南方（</w:t>
      </w:r>
      <m:oMath>
        <m:r>
          <m:rPr/>
          <w:rPr>
            <w:rFonts w:hint="default" w:ascii="Cambria Math" w:hAnsi="Cambria Math" w:eastAsia="黑体"/>
            <w:sz w:val="21"/>
          </w:rPr>
          <m:t>13</m:t>
        </m:r>
        <m:r>
          <m:rPr/>
          <w:rPr>
            <w:rFonts w:hint="default" w:ascii="Cambria Math" w:hAnsi="Cambria Math" w:eastAsia="黑体"/>
            <w:sz w:val="21"/>
            <w:lang w:val="en-US" w:eastAsia="zh-CN"/>
          </w:rPr>
          <m:t>5</m:t>
        </m:r>
        <m:r>
          <m:rPr/>
          <w:rPr>
            <w:rFonts w:hint="default" w:ascii="Cambria Math" w:hAnsi="Cambria Math" w:eastAsia="黑体"/>
            <w:sz w:val="21"/>
          </w:rPr>
          <m:t>−31</m:t>
        </m:r>
        <m:sSup>
          <m:sSupPr>
            <m:ctrlPr>
              <w:rPr>
                <w:rFonts w:hint="default" w:ascii="Cambria Math" w:hAnsi="Cambria Math" w:eastAsia="黑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黑体"/>
                <w:sz w:val="21"/>
              </w:rPr>
              <m:t>5</m:t>
            </m:r>
            <m:ctrlPr>
              <w:rPr>
                <w:rFonts w:ascii="Cambria Math" w:hAnsi="Cambria Math" w:eastAsia="黑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1"/>
              </w:rPr>
              <m:t>∘</m:t>
            </m:r>
            <m:ctrlPr>
              <w:rPr>
                <w:rFonts w:ascii="Cambria Math" w:hAnsi="Cambria Math" w:eastAsia="黑体"/>
                <w:sz w:val="21"/>
              </w:rPr>
            </m:ctrlPr>
          </m:sup>
        </m:sSup>
      </m:oMath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）为背光面，其余为受光面。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在ArcToolbox中依次选择【Spatial Analyst 工具】-【重分类】-【重分类】，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对re_asp进行【重分类】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。输入栅格设置为re_asp，输出栅格设置为rre_asp，分类值分配如下：</w:t>
      </w:r>
    </w:p>
    <w:p w14:paraId="1979DAAB">
      <w:pPr>
        <w:pStyle w:val="14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 xml:space="preserve">旧值 0-135 </w:t>
      </w:r>
      <m:oMath>
        <m:r>
          <m:rPr/>
          <w:rPr>
            <w:rFonts w:hint="default" w:ascii="Cambria Math" w:hAnsi="Cambria Math" w:eastAsia="黑体"/>
            <w:sz w:val="21"/>
          </w:rPr>
          <m:t>→</m:t>
        </m:r>
      </m:oMath>
      <w:r>
        <w:rPr>
          <w:rFonts w:hint="eastAsia" w:hAnsi="Cambria Math" w:eastAsia="黑体"/>
          <w:i w:val="0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新值0（即受光）</w:t>
      </w:r>
    </w:p>
    <w:p w14:paraId="172161CD">
      <w:pPr>
        <w:pStyle w:val="14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 xml:space="preserve">旧值 135-315 </w:t>
      </w:r>
      <m:oMath>
        <m:r>
          <m:rPr/>
          <w:rPr>
            <w:rFonts w:hint="default" w:ascii="Cambria Math" w:hAnsi="Cambria Math" w:eastAsia="黑体"/>
            <w:sz w:val="21"/>
          </w:rPr>
          <m:t>→</m:t>
        </m:r>
      </m:oMath>
      <w:r>
        <w:rPr>
          <w:rFonts w:hint="eastAsia" w:hAnsi="Cambria Math" w:eastAsia="黑体"/>
          <w:i w:val="0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新值1（即背光）</w:t>
      </w:r>
    </w:p>
    <w:p w14:paraId="6EF04CAE">
      <w:pPr>
        <w:pStyle w:val="14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 xml:space="preserve">旧值 315-360 </w:t>
      </w:r>
      <m:oMath>
        <m:r>
          <m:rPr/>
          <w:rPr>
            <w:rFonts w:hint="default" w:ascii="Cambria Math" w:hAnsi="Cambria Math" w:eastAsia="黑体"/>
            <w:sz w:val="21"/>
          </w:rPr>
          <m:t>→</m:t>
        </m:r>
      </m:oMath>
      <w:r>
        <w:rPr>
          <w:rFonts w:hint="eastAsia" w:hAnsi="Cambria Math" w:eastAsia="黑体"/>
          <w:i w:val="0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新值0（即受光）</w:t>
      </w:r>
    </w:p>
    <w:p w14:paraId="015C878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563620" cy="2759075"/>
            <wp:effectExtent l="0" t="0" r="1778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96410" cy="2621915"/>
            <wp:effectExtent l="0" t="0" r="889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423A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为了增强图面效果，需提取DEM的有效范围作为背景。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在ArcToolbox中依次选择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【地图代数】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【栅格计算器】，输入公式</w:t>
      </w:r>
      <w:r>
        <w:rPr>
          <w:rFonts w:hint="default" w:ascii="Times New Roman" w:hAnsi="Times New Roman" w:eastAsia="黑体"/>
          <w:color w:val="0000FF"/>
          <w:sz w:val="21"/>
          <w:szCs w:val="21"/>
          <w:lang w:val="en-US" w:eastAsia="zh-CN"/>
        </w:rPr>
        <w:t>"dem" &gt;= 0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输出栅格设置为demr0，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提取高程大于等于0的区域。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如图所示。</w:t>
      </w:r>
    </w:p>
    <w:p w14:paraId="3BC83C14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632200" cy="2360930"/>
            <wp:effectExtent l="0" t="0" r="635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75635"/>
            <wp:effectExtent l="0" t="0" r="635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2A96">
      <w:pPr>
        <w:pStyle w:val="1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图层叠加与可视化结果</w:t>
      </w:r>
    </w:p>
    <w:p w14:paraId="64D6661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在图层属性中调整符号系统：</w:t>
      </w:r>
    </w:p>
    <w:p w14:paraId="2CB5E46C">
      <w:pPr>
        <w:pStyle w:val="1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rre_asp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图层中值为0（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表示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受光面）的像元设置为白色，值为1（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表示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背光面）的像元设置为黑色。</w:t>
      </w:r>
    </w:p>
    <w:p w14:paraId="1B6E1745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564130" cy="2125345"/>
            <wp:effectExtent l="0" t="0" r="762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4290" cy="2132965"/>
            <wp:effectExtent l="0" t="0" r="1651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4726">
      <w:pPr>
        <w:pStyle w:val="1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将背景图层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demr0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设置为灰色。</w:t>
      </w:r>
    </w:p>
    <w:p w14:paraId="6177492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调整图层顺序，将明暗等高线图层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rre_asp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置于灰色背景图层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demr0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之上，最终形成具有立体浮雕感的明暗等高线地图。</w:t>
      </w:r>
    </w:p>
    <w:p w14:paraId="768E5946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960" cy="3294380"/>
            <wp:effectExtent l="0" t="0" r="889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49CE">
      <w:pPr>
        <w:pStyle w:val="14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基于模型构建器自动化提取明暗等高线</w:t>
      </w:r>
    </w:p>
    <w:p w14:paraId="3ABACB11">
      <w:pPr>
        <w:pStyle w:val="14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模型构建</w:t>
      </w:r>
    </w:p>
    <w:p w14:paraId="0F8ED9A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为了提高处理效率并确立标准化的地理处理流，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需要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在ArcMap中新建工具箱并创建模型。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打开模型构建器，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依次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完成以下步骤：</w:t>
      </w:r>
    </w:p>
    <w:p w14:paraId="10A914C2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提取等高线：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中的【3D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【栅格表面】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【等值线】拖入模型窗口。双击设置参数：输入栅格选择原始DEM数据dem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输出折线要素设置为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.shp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等值线间距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50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其他参数保持默认。点击确定。</w:t>
      </w:r>
    </w:p>
    <w:p w14:paraId="762FFC3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508375" cy="2280285"/>
            <wp:effectExtent l="0" t="0" r="1587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65E5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481195" cy="956945"/>
            <wp:effectExtent l="0" t="0" r="14605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5018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等高线转栅格：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中的【转换工具】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【转为栅格】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【要素转栅格】拖入模型窗口，并连接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.shp作为输入。输入要素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设置为mdgx.shp，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字段选择CONTOUR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输出栅格设置为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mrdgx，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输出像元大小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保持默认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点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击确定。</w:t>
      </w:r>
    </w:p>
    <w:p w14:paraId="08E36246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345305" cy="1977390"/>
            <wp:effectExtent l="0" t="0" r="17145" b="3810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88C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384040" cy="1746250"/>
            <wp:effectExtent l="0" t="0" r="1651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1E39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等高线归一化：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【重分类】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【重分类】拖入模型窗口，连接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。输入栅格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设置为mrdgx，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重分类字段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VALUE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将所有旧值的新值统一设置为1，NoData保持NoData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输出栅格设置为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mrrdgx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。点击确定。</w:t>
      </w:r>
    </w:p>
    <w:p w14:paraId="5207B16B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623945" cy="2886710"/>
            <wp:effectExtent l="0" t="0" r="1460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67785" cy="2341245"/>
            <wp:effectExtent l="0" t="0" r="18415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9E6A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提取坡向：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中的【3D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【栅格表面】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【坡向】拖入模型窗口。双击设置输入栅格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为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dem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输出栅格为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mdem_aspect，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方法选择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默认的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PLANAR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单位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保持默认的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METER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点击确定。</w:t>
      </w:r>
    </w:p>
    <w:p w14:paraId="2E878E5A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474085" cy="1563370"/>
            <wp:effectExtent l="0" t="0" r="12065" b="1778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5744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412615" cy="2519680"/>
            <wp:effectExtent l="0" t="0" r="6985" b="1397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D13A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赋予等高线坡向值：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【地图代数】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【栅格计算器】拖入模型窗口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，双击设置参数。将底图表达式设为</w:t>
      </w:r>
      <w:r>
        <w:rPr>
          <w:rFonts w:hint="default" w:ascii="Times New Roman" w:hAnsi="Times New Roman" w:eastAsia="黑体"/>
          <w:color w:val="0000FF"/>
          <w:sz w:val="21"/>
          <w:szCs w:val="21"/>
          <w:lang w:val="en-US" w:eastAsia="zh-CN"/>
        </w:rPr>
        <w:t>"</w:t>
      </w:r>
      <w:r>
        <w:rPr>
          <w:rFonts w:hint="eastAsia" w:ascii="Times New Roman" w:hAnsi="Times New Roman" w:eastAsia="黑体"/>
          <w:color w:val="0000FF"/>
          <w:sz w:val="21"/>
          <w:szCs w:val="21"/>
          <w:lang w:val="en-US" w:eastAsia="zh-CN"/>
        </w:rPr>
        <w:t>mrrdgx</w:t>
      </w:r>
      <w:r>
        <w:rPr>
          <w:rFonts w:hint="default" w:ascii="Times New Roman" w:hAnsi="Times New Roman" w:eastAsia="黑体"/>
          <w:color w:val="0000FF"/>
          <w:sz w:val="21"/>
          <w:szCs w:val="21"/>
          <w:lang w:val="en-US" w:eastAsia="zh-CN"/>
        </w:rPr>
        <w:t>" * "</w:t>
      </w:r>
      <w:r>
        <w:rPr>
          <w:rFonts w:hint="eastAsia" w:ascii="Times New Roman" w:hAnsi="Times New Roman" w:eastAsia="黑体"/>
          <w:color w:val="0000FF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黑体"/>
          <w:color w:val="0000FF"/>
          <w:sz w:val="21"/>
          <w:szCs w:val="21"/>
          <w:lang w:val="en-US" w:eastAsia="zh-CN"/>
        </w:rPr>
        <w:t>dem_aspect"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 (将归一化后的等高线与坡向相乘)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输出栅格设置为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mre_asp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。点击确定。</w:t>
      </w:r>
    </w:p>
    <w:p w14:paraId="2967F41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536315" cy="2323465"/>
            <wp:effectExtent l="0" t="0" r="6985" b="63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07CF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790315" cy="2724785"/>
            <wp:effectExtent l="0" t="0" r="635" b="1841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C271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明暗分类：再次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【重分类】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【重分类】拖入模型窗口，连接上一步生成的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mre_asp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。双击设置参数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，将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输入栅格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设置为mre_asp，重分类字段设置为VALUE，输出栅格设置为mrre_asp，重分类表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根据东南光照方向（</w:t>
      </w:r>
      <m:oMath>
        <m:r>
          <m:rPr/>
          <w:rPr>
            <w:rFonts w:hint="default" w:ascii="Cambria Math" w:hAnsi="Cambria Math" w:eastAsia="黑体"/>
            <w:sz w:val="21"/>
          </w:rPr>
          <m:t>13</m:t>
        </m:r>
        <m:r>
          <m:rPr/>
          <w:rPr>
            <w:rFonts w:hint="default" w:ascii="Cambria Math" w:hAnsi="Cambria Math" w:eastAsia="黑体"/>
            <w:sz w:val="21"/>
            <w:lang w:val="en-US" w:eastAsia="zh-CN"/>
          </w:rPr>
          <m:t>5</m:t>
        </m:r>
        <m:r>
          <m:rPr/>
          <w:rPr>
            <w:rFonts w:hint="default" w:ascii="Cambria Math" w:hAnsi="Cambria Math" w:eastAsia="黑体"/>
            <w:sz w:val="21"/>
          </w:rPr>
          <m:t>−31</m:t>
        </m:r>
        <m:sSup>
          <m:sSupPr>
            <m:ctrlPr>
              <w:rPr>
                <w:rFonts w:hint="default" w:ascii="Cambria Math" w:hAnsi="Cambria Math" w:eastAsia="黑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黑体"/>
                <w:sz w:val="21"/>
              </w:rPr>
              <m:t>5</m:t>
            </m:r>
            <m:ctrlPr>
              <w:rPr>
                <w:rFonts w:ascii="Cambria Math" w:hAnsi="Cambria Math" w:eastAsia="黑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1"/>
              </w:rPr>
              <m:t>∘</m:t>
            </m:r>
            <m:ctrlPr>
              <w:rPr>
                <w:rFonts w:ascii="Cambria Math" w:hAnsi="Cambria Math" w:eastAsia="黑体"/>
                <w:sz w:val="21"/>
              </w:rPr>
            </m:ctrlPr>
          </m:sup>
        </m:sSup>
      </m:oMath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为背光）设置阈值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：</w:t>
      </w:r>
    </w:p>
    <w:p w14:paraId="4D19C25E">
      <w:pPr>
        <w:pStyle w:val="14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 xml:space="preserve">旧值 0-135 </w:t>
      </w:r>
      <m:oMath>
        <m:r>
          <m:rPr/>
          <w:rPr>
            <w:rFonts w:hint="default" w:ascii="Cambria Math" w:hAnsi="Cambria Math" w:eastAsia="黑体"/>
            <w:sz w:val="21"/>
          </w:rPr>
          <m:t>→</m:t>
        </m:r>
      </m:oMath>
      <w:r>
        <w:rPr>
          <w:rFonts w:hint="eastAsia" w:hAnsi="Cambria Math" w:eastAsia="黑体"/>
          <w:i w:val="0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新值0（即受光）</w:t>
      </w:r>
    </w:p>
    <w:p w14:paraId="2105DE0F">
      <w:pPr>
        <w:pStyle w:val="14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 xml:space="preserve">旧值 135-315 </w:t>
      </w:r>
      <m:oMath>
        <m:r>
          <m:rPr/>
          <w:rPr>
            <w:rFonts w:hint="default" w:ascii="Cambria Math" w:hAnsi="Cambria Math" w:eastAsia="黑体"/>
            <w:sz w:val="21"/>
          </w:rPr>
          <m:t>→</m:t>
        </m:r>
      </m:oMath>
      <w:r>
        <w:rPr>
          <w:rFonts w:hint="eastAsia" w:hAnsi="Cambria Math" w:eastAsia="黑体"/>
          <w:i w:val="0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新值1（即背光）</w:t>
      </w:r>
    </w:p>
    <w:p w14:paraId="427BF903">
      <w:pPr>
        <w:pStyle w:val="14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 xml:space="preserve">旧值 315-360 </w:t>
      </w:r>
      <m:oMath>
        <m:r>
          <m:rPr/>
          <w:rPr>
            <w:rFonts w:hint="default" w:ascii="Cambria Math" w:hAnsi="Cambria Math" w:eastAsia="黑体"/>
            <w:sz w:val="21"/>
          </w:rPr>
          <m:t>→</m:t>
        </m:r>
      </m:oMath>
      <w:r>
        <w:rPr>
          <w:rFonts w:hint="eastAsia" w:hAnsi="Cambria Math" w:eastAsia="黑体"/>
          <w:i w:val="0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新值0（即受光）</w:t>
      </w:r>
    </w:p>
    <w:p w14:paraId="195C8166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点击确定。</w:t>
      </w:r>
    </w:p>
    <w:p w14:paraId="550565A7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529330" cy="2896870"/>
            <wp:effectExtent l="0" t="0" r="13970" b="1778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BE7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44415" cy="2230755"/>
            <wp:effectExtent l="0" t="0" r="13335" b="1714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E8DF">
      <w:pPr>
        <w:pStyle w:val="14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提取背景：再次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ArcToolbox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中的【Spatial Analyst 工具】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【地图代数】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【栅格计算器】拖入模型窗口，双击设置参数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，将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地图代数表达式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设置为</w:t>
      </w:r>
      <w:r>
        <w:rPr>
          <w:rFonts w:hint="default" w:ascii="Times New Roman" w:hAnsi="Times New Roman" w:eastAsia="黑体"/>
          <w:color w:val="0000FF"/>
          <w:sz w:val="21"/>
          <w:szCs w:val="21"/>
          <w:lang w:val="en-US" w:eastAsia="zh-CN"/>
        </w:rPr>
        <w:t>"dem" &gt;= 0</w:t>
      </w:r>
      <w:r>
        <w:rPr>
          <w:rFonts w:hint="eastAsia" w:ascii="Times New Roman" w:hAnsi="Times New Roman" w:eastAsia="黑体"/>
          <w:color w:val="auto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目的是提取所有有值的区域作为背景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），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输出栅格设置为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mdemr0，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点击确定。</w:t>
      </w:r>
    </w:p>
    <w:p w14:paraId="3C65AAE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789045" cy="2489200"/>
            <wp:effectExtent l="0" t="0" r="1905" b="635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0F9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8595" cy="4069080"/>
            <wp:effectExtent l="0" t="0" r="8255" b="762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F020">
      <w:pPr>
        <w:pStyle w:val="14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模型运行与结果验证</w:t>
      </w:r>
    </w:p>
    <w:p w14:paraId="0E15126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验证模型无误后点击运行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，等待模型运行完成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。模型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自动生成一系列中间及最终数据。</w:t>
      </w:r>
    </w:p>
    <w:p w14:paraId="44744775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074035" cy="2137410"/>
            <wp:effectExtent l="0" t="0" r="12065" b="1524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E37B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关闭模型，将生成的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mrre_asp（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明暗等高线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mdemr0（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背景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加载到图层。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依次进行以下符号化设置：</w:t>
      </w:r>
    </w:p>
    <w:p w14:paraId="0AD5D153">
      <w:pPr>
        <w:pStyle w:val="14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mrre_asp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值设为白色，1值设为黑色。</w:t>
      </w:r>
    </w:p>
    <w:p w14:paraId="1F0F5493">
      <w:pPr>
        <w:pStyle w:val="14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将</w:t>
      </w: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mdemr0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设为灰色。</w:t>
      </w:r>
    </w:p>
    <w:p w14:paraId="3520B106">
      <w:pPr>
        <w:pStyle w:val="14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调整图层顺序，将明暗等高线置于背景上方。</w:t>
      </w:r>
    </w:p>
    <w:p w14:paraId="7EF44B6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960" cy="3294380"/>
            <wp:effectExtent l="0" t="0" r="8890" b="127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365A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/>
          <w:sz w:val="21"/>
          <w:szCs w:val="21"/>
          <w:lang w:val="en-US" w:eastAsia="zh-CN"/>
        </w:rPr>
        <w:t>最终</w:t>
      </w:r>
      <w:r>
        <w:rPr>
          <w:rFonts w:hint="default" w:ascii="Times New Roman" w:hAnsi="Times New Roman" w:eastAsia="黑体"/>
          <w:sz w:val="21"/>
          <w:szCs w:val="21"/>
          <w:lang w:val="en-US" w:eastAsia="zh-CN"/>
        </w:rPr>
        <w:t>得到了与常规方法一致的明暗等高线效果，验证了地理建模方法的可行性与高效性。</w:t>
      </w:r>
    </w:p>
    <w:p w14:paraId="63C799E7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黑体"/>
          <w:sz w:val="28"/>
          <w:szCs w:val="28"/>
        </w:rPr>
      </w:pPr>
      <w:r>
        <w:rPr>
          <w:rFonts w:hint="eastAsia" w:ascii="Times New Roman" w:hAnsi="Times New Roman" w:eastAsia="黑体"/>
          <w:sz w:val="28"/>
          <w:szCs w:val="28"/>
        </w:rPr>
        <w:t>实验问题及心得</w:t>
      </w:r>
    </w:p>
    <w:p w14:paraId="01C36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在本次实验过程中，我遇到的主要问题集中在多步栅格运算的逻辑衔接与参数设置上。在模型构建时，我遇到了最终重分类报错的问题，定位问题后发现在等高线转栅格时将应选择的ID字段错误设置为了CONTOUR字段，导致后续操作无法正常生成结果，在修改后恢复正常。本次实验在手动操作时会生成大量中间图层，若文件命名管理不当，容易在后续叠加分析时造成混淆。</w:t>
      </w:r>
    </w:p>
    <w:p w14:paraId="61224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通过本次明暗等高线的提取实验，我深刻体会到了利用“视觉错觉”原理来增强地图三维表现力的制图技巧，这种方法比单纯的等高线更能直观地反映地形的立体起伏。通过对比常规方法与地理建模方法，我掌握了ArcGIS的模型构建器的核心应用。利用模型将“等值线提取 - 坡向分析 - 栅格运算 - 重分类”这一繁琐的流程串联起来并实现自动化，不仅能够极大提高了数据处理效率，还确保了处理逻辑的一致性与可重复性。这让我认识到，在面对复杂的地理空间分析任务时，构建标准化的工作流是提升工作质量的关键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ritannic Bold">
    <w:panose1 w:val="020B0903060703020204"/>
    <w:charset w:val="00"/>
    <w:family w:val="swiss"/>
    <w:pitch w:val="default"/>
    <w:sig w:usb0="00000003" w:usb1="00000000" w:usb2="00000000" w:usb3="00000000" w:csb0="2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6D15E"/>
    <w:multiLevelType w:val="singleLevel"/>
    <w:tmpl w:val="88F6D15E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A60955C9"/>
    <w:multiLevelType w:val="singleLevel"/>
    <w:tmpl w:val="A60955C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7054EAD"/>
    <w:multiLevelType w:val="singleLevel"/>
    <w:tmpl w:val="A7054EA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B7021A70"/>
    <w:multiLevelType w:val="singleLevel"/>
    <w:tmpl w:val="B7021A70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BAD90C59"/>
    <w:multiLevelType w:val="singleLevel"/>
    <w:tmpl w:val="BAD90C59"/>
    <w:lvl w:ilvl="0" w:tentative="0">
      <w:start w:val="1"/>
      <w:numFmt w:val="decimalEnclosedCircleChinese"/>
      <w:suff w:val="space"/>
      <w:lvlText w:val="%1"/>
      <w:lvlJc w:val="left"/>
      <w:pPr>
        <w:ind w:left="420"/>
      </w:pPr>
      <w:rPr>
        <w:rFonts w:hint="eastAsia"/>
      </w:rPr>
    </w:lvl>
  </w:abstractNum>
  <w:abstractNum w:abstractNumId="5">
    <w:nsid w:val="D39738B2"/>
    <w:multiLevelType w:val="singleLevel"/>
    <w:tmpl w:val="D39738B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6">
    <w:nsid w:val="E4A5F21E"/>
    <w:multiLevelType w:val="singleLevel"/>
    <w:tmpl w:val="E4A5F21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B1B5A43"/>
    <w:multiLevelType w:val="multilevel"/>
    <w:tmpl w:val="EB1B5A4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00872923"/>
    <w:multiLevelType w:val="singleLevel"/>
    <w:tmpl w:val="00872923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9">
    <w:nsid w:val="03741559"/>
    <w:multiLevelType w:val="multilevel"/>
    <w:tmpl w:val="0374155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80801C4"/>
    <w:multiLevelType w:val="singleLevel"/>
    <w:tmpl w:val="380801C4"/>
    <w:lvl w:ilvl="0" w:tentative="0">
      <w:start w:val="1"/>
      <w:numFmt w:val="decimal"/>
      <w:suff w:val="space"/>
      <w:lvlText w:val="(%1)"/>
      <w:lvlJc w:val="left"/>
    </w:lvl>
  </w:abstractNum>
  <w:abstractNum w:abstractNumId="11">
    <w:nsid w:val="5927EAD2"/>
    <w:multiLevelType w:val="singleLevel"/>
    <w:tmpl w:val="5927EAD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2">
    <w:nsid w:val="64C534E5"/>
    <w:multiLevelType w:val="singleLevel"/>
    <w:tmpl w:val="64C534E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3">
    <w:nsid w:val="7E8D2FF6"/>
    <w:multiLevelType w:val="singleLevel"/>
    <w:tmpl w:val="7E8D2FF6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10"/>
  </w:num>
  <w:num w:numId="9">
    <w:abstractNumId w:val="12"/>
  </w:num>
  <w:num w:numId="10">
    <w:abstractNumId w:val="11"/>
  </w:num>
  <w:num w:numId="11">
    <w:abstractNumId w:val="0"/>
  </w:num>
  <w:num w:numId="12">
    <w:abstractNumId w:val="8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74A"/>
    <w:rsid w:val="00042F91"/>
    <w:rsid w:val="00633D44"/>
    <w:rsid w:val="00660D63"/>
    <w:rsid w:val="00674788"/>
    <w:rsid w:val="007546EB"/>
    <w:rsid w:val="007C0893"/>
    <w:rsid w:val="0081774E"/>
    <w:rsid w:val="0088474A"/>
    <w:rsid w:val="00926238"/>
    <w:rsid w:val="00AC53E8"/>
    <w:rsid w:val="00BB0DF6"/>
    <w:rsid w:val="00CE26C1"/>
    <w:rsid w:val="00EA6689"/>
    <w:rsid w:val="00EB6C54"/>
    <w:rsid w:val="00EE2392"/>
    <w:rsid w:val="00EE79EB"/>
    <w:rsid w:val="045447CF"/>
    <w:rsid w:val="04581455"/>
    <w:rsid w:val="04965641"/>
    <w:rsid w:val="0588329B"/>
    <w:rsid w:val="0BB53545"/>
    <w:rsid w:val="0C05627A"/>
    <w:rsid w:val="0D24165A"/>
    <w:rsid w:val="0E937307"/>
    <w:rsid w:val="0F7F00F1"/>
    <w:rsid w:val="117345B2"/>
    <w:rsid w:val="13367B77"/>
    <w:rsid w:val="135C409A"/>
    <w:rsid w:val="14CF3E9E"/>
    <w:rsid w:val="17E31439"/>
    <w:rsid w:val="1847093C"/>
    <w:rsid w:val="1894002B"/>
    <w:rsid w:val="1ACC4407"/>
    <w:rsid w:val="1BEF2AA3"/>
    <w:rsid w:val="1CE91CB2"/>
    <w:rsid w:val="1E4D1D13"/>
    <w:rsid w:val="1E8976CC"/>
    <w:rsid w:val="1EA125DB"/>
    <w:rsid w:val="1F3D3B25"/>
    <w:rsid w:val="21343BE6"/>
    <w:rsid w:val="22A96695"/>
    <w:rsid w:val="22DA584D"/>
    <w:rsid w:val="271433BD"/>
    <w:rsid w:val="27CB57B8"/>
    <w:rsid w:val="29064487"/>
    <w:rsid w:val="29585285"/>
    <w:rsid w:val="2AD41229"/>
    <w:rsid w:val="2BF51A0F"/>
    <w:rsid w:val="2C5C731D"/>
    <w:rsid w:val="322A1CE7"/>
    <w:rsid w:val="32DF11CB"/>
    <w:rsid w:val="34D6560D"/>
    <w:rsid w:val="36FA7397"/>
    <w:rsid w:val="384A6667"/>
    <w:rsid w:val="3AF27BF8"/>
    <w:rsid w:val="3DFD29A6"/>
    <w:rsid w:val="41180474"/>
    <w:rsid w:val="41E43F89"/>
    <w:rsid w:val="426B45B3"/>
    <w:rsid w:val="44A047EB"/>
    <w:rsid w:val="44A771C7"/>
    <w:rsid w:val="450B3BFA"/>
    <w:rsid w:val="467C4DAF"/>
    <w:rsid w:val="47EF725D"/>
    <w:rsid w:val="48AF2AEE"/>
    <w:rsid w:val="48DE483E"/>
    <w:rsid w:val="491646DC"/>
    <w:rsid w:val="4D852B5E"/>
    <w:rsid w:val="4EE72FE2"/>
    <w:rsid w:val="52F17327"/>
    <w:rsid w:val="56BE75A8"/>
    <w:rsid w:val="576D1992"/>
    <w:rsid w:val="5BAD55B3"/>
    <w:rsid w:val="5CAB2F8C"/>
    <w:rsid w:val="5D4558DC"/>
    <w:rsid w:val="5DC35407"/>
    <w:rsid w:val="5E036C15"/>
    <w:rsid w:val="5FA3624A"/>
    <w:rsid w:val="604F4E8B"/>
    <w:rsid w:val="605161E7"/>
    <w:rsid w:val="60CC2038"/>
    <w:rsid w:val="614918DA"/>
    <w:rsid w:val="616D0005"/>
    <w:rsid w:val="649B236B"/>
    <w:rsid w:val="64C51278"/>
    <w:rsid w:val="664B0BAB"/>
    <w:rsid w:val="668760F0"/>
    <w:rsid w:val="670A38BA"/>
    <w:rsid w:val="6BC05FE0"/>
    <w:rsid w:val="6EC24A7A"/>
    <w:rsid w:val="6F742218"/>
    <w:rsid w:val="6F7E4E45"/>
    <w:rsid w:val="718D41DB"/>
    <w:rsid w:val="72CB65F3"/>
    <w:rsid w:val="74C02B50"/>
    <w:rsid w:val="74F51DA9"/>
    <w:rsid w:val="76BE3220"/>
    <w:rsid w:val="779C2014"/>
    <w:rsid w:val="77E67A2B"/>
    <w:rsid w:val="794C278F"/>
    <w:rsid w:val="7D674DCB"/>
    <w:rsid w:val="7D965A4F"/>
    <w:rsid w:val="7F396A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1"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日期 Char"/>
    <w:basedOn w:val="9"/>
    <w:link w:val="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2">
    <w:name w:val="页脚 Char"/>
    <w:basedOn w:val="9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Char"/>
    <w:basedOn w:val="9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3132</Words>
  <Characters>3878</Characters>
  <Lines>1</Lines>
  <Paragraphs>1</Paragraphs>
  <TotalTime>29</TotalTime>
  <ScaleCrop>false</ScaleCrop>
  <LinksUpToDate>false</LinksUpToDate>
  <CharactersWithSpaces>3963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2016-05-03T02:25:00Z</dcterms:created>
  <dc:creator>Xuan</dc:creator>
  <cp:lastModifiedBy>许愿</cp:lastModifiedBy>
  <dcterms:modified xsi:type="dcterms:W3CDTF">2026-02-14T16:37:41Z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8DB6D57F093B4B5CB8DEDA5486C746DC_13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