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7AE39"/>
    <w:p w14:paraId="30C9789D"/>
    <w:p w14:paraId="5D2CE508"/>
    <w:p w14:paraId="208F1DF7"/>
    <w:p w14:paraId="6C3E1CEC">
      <w:pPr>
        <w:jc w:val="center"/>
        <w:rPr>
          <w:rFonts w:ascii="Bookman Old Style" w:hAnsi="Bookman Old Style" w:eastAsia="华文行楷"/>
          <w:b/>
          <w:sz w:val="120"/>
          <w:szCs w:val="120"/>
        </w:rPr>
      </w:pPr>
      <w:r>
        <w:rPr>
          <w:rFonts w:ascii="Britannic Bold" w:hAnsi="Britannic Bold" w:eastAsia="华文行楷"/>
          <w:sz w:val="120"/>
          <w:szCs w:val="120"/>
        </w:rPr>
        <w:t>数字高程模型</w:t>
      </w:r>
    </w:p>
    <w:p w14:paraId="2C78DD8A">
      <w:pPr>
        <w:jc w:val="center"/>
        <w:rPr>
          <w:rFonts w:ascii="华文琥珀" w:eastAsia="华文琥珀"/>
          <w:sz w:val="72"/>
          <w:szCs w:val="72"/>
        </w:rPr>
      </w:pPr>
      <w:r>
        <w:rPr>
          <w:rFonts w:hint="eastAsia" w:ascii="华文琥珀" w:eastAsia="华文琥珀"/>
          <w:sz w:val="72"/>
          <w:szCs w:val="72"/>
        </w:rPr>
        <w:t>实验报告</w:t>
      </w:r>
    </w:p>
    <w:p w14:paraId="04F92A6A">
      <w:pPr>
        <w:rPr>
          <w:sz w:val="44"/>
          <w:szCs w:val="44"/>
        </w:rPr>
      </w:pPr>
    </w:p>
    <w:p w14:paraId="7B20B0D6">
      <w:pPr>
        <w:rPr>
          <w:sz w:val="44"/>
          <w:szCs w:val="44"/>
        </w:rPr>
      </w:pPr>
    </w:p>
    <w:p w14:paraId="5B2BA62B">
      <w:pPr>
        <w:rPr>
          <w:sz w:val="44"/>
          <w:szCs w:val="44"/>
        </w:rPr>
      </w:pPr>
    </w:p>
    <w:p w14:paraId="577D7A34">
      <w:pPr>
        <w:rPr>
          <w:sz w:val="48"/>
          <w:szCs w:val="48"/>
        </w:rPr>
      </w:pPr>
      <w:r>
        <w:rPr>
          <w:rFonts w:hint="eastAsia"/>
          <w:sz w:val="48"/>
          <w:szCs w:val="48"/>
        </w:rPr>
        <w:t xml:space="preserve">  </w:t>
      </w:r>
    </w:p>
    <w:p w14:paraId="1818BFF6">
      <w:pPr>
        <w:snapToGrid w:val="0"/>
        <w:spacing w:line="360" w:lineRule="auto"/>
        <w:rPr>
          <w:rFonts w:ascii="楷体" w:hAnsi="楷体" w:eastAsia="楷体"/>
          <w:sz w:val="48"/>
          <w:szCs w:val="48"/>
        </w:rPr>
      </w:pPr>
      <w:r>
        <w:rPr>
          <w:rFonts w:hint="eastAsia"/>
          <w:sz w:val="48"/>
          <w:szCs w:val="48"/>
        </w:rPr>
        <w:t xml:space="preserve">  </w:t>
      </w:r>
      <w:r>
        <w:rPr>
          <w:rFonts w:hint="eastAsia" w:ascii="楷体" w:hAnsi="楷体" w:eastAsia="楷体"/>
          <w:sz w:val="48"/>
          <w:szCs w:val="48"/>
        </w:rPr>
        <w:t xml:space="preserve"> 姓  名：</w:t>
      </w:r>
      <w:r>
        <w:rPr>
          <w:rFonts w:ascii="楷体" w:hAnsi="楷体" w:eastAsia="楷体"/>
          <w:sz w:val="48"/>
          <w:szCs w:val="48"/>
        </w:rPr>
        <w:t>___</w:t>
      </w:r>
      <w:r>
        <w:rPr>
          <w:rFonts w:hint="eastAsia" w:ascii="楷体" w:hAnsi="楷体" w:eastAsia="楷体"/>
          <w:sz w:val="48"/>
          <w:szCs w:val="48"/>
          <w:lang w:val="en-US" w:eastAsia="zh-CN"/>
        </w:rPr>
        <w:t>__</w:t>
      </w:r>
      <w:r>
        <w:rPr>
          <w:rFonts w:ascii="楷体" w:hAnsi="楷体" w:eastAsia="楷体"/>
          <w:sz w:val="48"/>
          <w:szCs w:val="48"/>
        </w:rPr>
        <w:t>_</w:t>
      </w:r>
      <w:r>
        <w:rPr>
          <w:rFonts w:hint="eastAsia" w:ascii="楷体" w:hAnsi="楷体" w:eastAsia="楷体"/>
          <w:sz w:val="48"/>
          <w:szCs w:val="48"/>
          <w:lang w:val="en-US" w:eastAsia="zh-CN"/>
        </w:rPr>
        <w:t>许愿</w:t>
      </w:r>
      <w:r>
        <w:rPr>
          <w:rFonts w:ascii="楷体" w:hAnsi="楷体" w:eastAsia="楷体"/>
          <w:sz w:val="48"/>
          <w:szCs w:val="48"/>
        </w:rPr>
        <w:t>______</w:t>
      </w:r>
    </w:p>
    <w:p w14:paraId="14923AA3">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学  号：</w:t>
      </w:r>
      <w:r>
        <w:rPr>
          <w:rFonts w:ascii="楷体" w:hAnsi="楷体" w:eastAsia="楷体"/>
          <w:sz w:val="48"/>
          <w:szCs w:val="48"/>
        </w:rPr>
        <w:t>___</w:t>
      </w:r>
      <w:r>
        <w:rPr>
          <w:rFonts w:hint="eastAsia" w:ascii="楷体" w:hAnsi="楷体" w:eastAsia="楷体"/>
          <w:sz w:val="48"/>
          <w:szCs w:val="48"/>
          <w:lang w:val="en-US" w:eastAsia="zh-CN"/>
        </w:rPr>
        <w:t>109090000000</w:t>
      </w:r>
      <w:bookmarkStart w:id="0" w:name="_GoBack"/>
      <w:bookmarkEnd w:id="0"/>
      <w:r>
        <w:rPr>
          <w:rFonts w:ascii="楷体" w:hAnsi="楷体" w:eastAsia="楷体"/>
          <w:sz w:val="48"/>
          <w:szCs w:val="48"/>
        </w:rPr>
        <w:t>___</w:t>
      </w:r>
    </w:p>
    <w:p w14:paraId="364AD28B">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专  业：</w:t>
      </w:r>
      <w:r>
        <w:rPr>
          <w:rFonts w:ascii="楷体" w:hAnsi="楷体" w:eastAsia="楷体"/>
          <w:sz w:val="48"/>
          <w:szCs w:val="48"/>
        </w:rPr>
        <w:t>___</w:t>
      </w:r>
      <w:r>
        <w:rPr>
          <w:rFonts w:hint="eastAsia" w:ascii="楷体" w:hAnsi="楷体" w:eastAsia="楷体"/>
          <w:sz w:val="48"/>
          <w:szCs w:val="48"/>
          <w:lang w:val="en-US" w:eastAsia="zh-CN"/>
        </w:rPr>
        <w:t>地理信息科学</w:t>
      </w:r>
      <w:r>
        <w:rPr>
          <w:rFonts w:ascii="楷体" w:hAnsi="楷体" w:eastAsia="楷体"/>
          <w:sz w:val="48"/>
          <w:szCs w:val="48"/>
        </w:rPr>
        <w:t>___</w:t>
      </w:r>
    </w:p>
    <w:p w14:paraId="62BE7065">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年  级：</w:t>
      </w:r>
      <w:r>
        <w:rPr>
          <w:rFonts w:ascii="楷体" w:hAnsi="楷体" w:eastAsia="楷体"/>
          <w:sz w:val="48"/>
          <w:szCs w:val="48"/>
        </w:rPr>
        <w:t>_____</w:t>
      </w:r>
      <w:r>
        <w:rPr>
          <w:rFonts w:hint="eastAsia" w:ascii="楷体" w:hAnsi="楷体" w:eastAsia="楷体"/>
          <w:sz w:val="48"/>
          <w:szCs w:val="48"/>
          <w:lang w:val="en-US" w:eastAsia="zh-CN"/>
        </w:rPr>
        <w:t>2023级</w:t>
      </w:r>
      <w:r>
        <w:rPr>
          <w:rFonts w:ascii="楷体" w:hAnsi="楷体" w:eastAsia="楷体"/>
          <w:sz w:val="48"/>
          <w:szCs w:val="48"/>
        </w:rPr>
        <w:t>______</w:t>
      </w:r>
    </w:p>
    <w:p w14:paraId="018AE279">
      <w:pPr>
        <w:rPr>
          <w:rFonts w:ascii="楷体" w:hAnsi="楷体" w:eastAsia="楷体"/>
          <w:sz w:val="48"/>
          <w:szCs w:val="48"/>
        </w:rPr>
      </w:pPr>
    </w:p>
    <w:p w14:paraId="478E6AD6">
      <w:pPr>
        <w:rPr>
          <w:rFonts w:ascii="楷体" w:hAnsi="楷体" w:eastAsia="楷体"/>
          <w:sz w:val="48"/>
          <w:szCs w:val="48"/>
        </w:rPr>
      </w:pPr>
    </w:p>
    <w:p w14:paraId="1D44BD00">
      <w:pPr>
        <w:jc w:val="center"/>
        <w:rPr>
          <w:rFonts w:ascii="楷体" w:hAnsi="楷体" w:eastAsia="楷体"/>
          <w:sz w:val="48"/>
          <w:szCs w:val="48"/>
        </w:rPr>
      </w:pPr>
      <w:r>
        <w:rPr>
          <w:rFonts w:ascii="楷体" w:hAnsi="楷体" w:eastAsia="楷体"/>
          <w:sz w:val="48"/>
          <w:szCs w:val="48"/>
        </w:rPr>
        <w:t>20</w:t>
      </w:r>
      <w:r>
        <w:rPr>
          <w:rFonts w:hint="eastAsia" w:ascii="楷体" w:hAnsi="楷体" w:eastAsia="楷体"/>
          <w:sz w:val="48"/>
          <w:szCs w:val="48"/>
          <w:lang w:val="en-US" w:eastAsia="zh-CN"/>
        </w:rPr>
        <w:t xml:space="preserve">26 </w:t>
      </w:r>
      <w:r>
        <w:rPr>
          <w:rFonts w:hint="eastAsia" w:ascii="楷体" w:hAnsi="楷体" w:eastAsia="楷体"/>
          <w:sz w:val="48"/>
          <w:szCs w:val="48"/>
        </w:rPr>
        <w:t>年</w:t>
      </w:r>
      <w:r>
        <w:rPr>
          <w:rFonts w:hint="eastAsia" w:ascii="楷体" w:hAnsi="楷体" w:eastAsia="楷体"/>
          <w:sz w:val="48"/>
          <w:szCs w:val="48"/>
          <w:lang w:val="en-US" w:eastAsia="zh-CN"/>
        </w:rPr>
        <w:t xml:space="preserve"> 1 </w:t>
      </w:r>
      <w:r>
        <w:rPr>
          <w:rFonts w:ascii="楷体" w:hAnsi="楷体" w:eastAsia="楷体"/>
          <w:sz w:val="48"/>
          <w:szCs w:val="48"/>
        </w:rPr>
        <w:t>月</w:t>
      </w:r>
    </w:p>
    <w:p w14:paraId="62B0E8D8">
      <w:pPr>
        <w:jc w:val="center"/>
        <w:rPr>
          <w:rFonts w:ascii="楷体" w:hAnsi="楷体" w:eastAsia="楷体"/>
          <w:sz w:val="48"/>
          <w:szCs w:val="48"/>
        </w:rPr>
      </w:pPr>
    </w:p>
    <w:p w14:paraId="36C150E9">
      <w:pPr>
        <w:jc w:val="center"/>
        <w:rPr>
          <w:rFonts w:ascii="楷体" w:hAnsi="楷体" w:eastAsia="楷体"/>
          <w:sz w:val="48"/>
          <w:szCs w:val="48"/>
        </w:rPr>
      </w:pPr>
    </w:p>
    <w:p w14:paraId="422077EC">
      <w:pPr>
        <w:jc w:val="center"/>
        <w:rPr>
          <w:rFonts w:ascii="楷体" w:hAnsi="楷体" w:eastAsia="楷体"/>
          <w:sz w:val="48"/>
          <w:szCs w:val="48"/>
        </w:rPr>
      </w:pPr>
    </w:p>
    <w:p w14:paraId="0C4D12B4">
      <w:pPr>
        <w:jc w:val="center"/>
        <w:rPr>
          <w:rFonts w:hint="default" w:ascii="楷体" w:hAnsi="楷体" w:eastAsia="楷体"/>
          <w:sz w:val="36"/>
          <w:szCs w:val="36"/>
          <w:lang w:val="en-US" w:eastAsia="zh-CN"/>
        </w:rPr>
      </w:pPr>
      <w:r>
        <w:rPr>
          <w:rFonts w:hint="eastAsia" w:ascii="楷体" w:hAnsi="楷体" w:eastAsia="楷体"/>
          <w:sz w:val="36"/>
          <w:szCs w:val="36"/>
        </w:rPr>
        <w:t>实验</w:t>
      </w:r>
      <w:r>
        <w:rPr>
          <w:rFonts w:hint="eastAsia" w:ascii="楷体" w:hAnsi="楷体" w:eastAsia="楷体"/>
          <w:sz w:val="36"/>
          <w:szCs w:val="36"/>
          <w:lang w:val="en-US" w:eastAsia="zh-CN"/>
        </w:rPr>
        <w:t>四</w:t>
      </w:r>
      <w:r>
        <w:rPr>
          <w:rFonts w:hint="eastAsia" w:ascii="楷体" w:hAnsi="楷体" w:eastAsia="楷体"/>
          <w:sz w:val="36"/>
          <w:szCs w:val="36"/>
        </w:rPr>
        <w:t xml:space="preserve"> </w:t>
      </w:r>
      <w:r>
        <w:rPr>
          <w:rFonts w:hint="eastAsia" w:ascii="楷体" w:hAnsi="楷体" w:eastAsia="楷体"/>
          <w:sz w:val="36"/>
          <w:szCs w:val="36"/>
          <w:lang w:val="en-US" w:eastAsia="zh-CN"/>
        </w:rPr>
        <w:t>TIN、Contour、Grid DEM的相互转换</w:t>
      </w:r>
    </w:p>
    <w:p w14:paraId="0F9C4841">
      <w:pPr>
        <w:rPr>
          <w:rFonts w:ascii="楷体" w:hAnsi="楷体" w:eastAsia="楷体"/>
          <w:sz w:val="36"/>
          <w:szCs w:val="36"/>
        </w:rPr>
      </w:pPr>
    </w:p>
    <w:p w14:paraId="19D3EFAD">
      <w:pPr>
        <w:pStyle w:val="14"/>
        <w:numPr>
          <w:ilvl w:val="0"/>
          <w:numId w:val="1"/>
        </w:numPr>
        <w:spacing w:line="360" w:lineRule="auto"/>
        <w:ind w:firstLineChars="0"/>
        <w:rPr>
          <w:rFonts w:eastAsia="黑体"/>
          <w:sz w:val="28"/>
          <w:szCs w:val="28"/>
        </w:rPr>
      </w:pPr>
      <w:r>
        <w:rPr>
          <w:rFonts w:eastAsia="黑体"/>
          <w:sz w:val="28"/>
          <w:szCs w:val="28"/>
        </w:rPr>
        <w:t>实验内容与目的</w:t>
      </w:r>
    </w:p>
    <w:p w14:paraId="7651A40C">
      <w:pPr>
        <w:pStyle w:val="14"/>
        <w:numPr>
          <w:ilvl w:val="0"/>
          <w:numId w:val="2"/>
        </w:numPr>
        <w:spacing w:line="360" w:lineRule="auto"/>
        <w:rPr>
          <w:rFonts w:hint="default" w:eastAsia="黑体"/>
          <w:sz w:val="21"/>
          <w:szCs w:val="21"/>
          <w:lang w:val="en-US" w:eastAsia="zh-CN"/>
        </w:rPr>
      </w:pPr>
      <w:r>
        <w:rPr>
          <w:rFonts w:hint="default" w:eastAsia="黑体"/>
          <w:sz w:val="21"/>
          <w:szCs w:val="21"/>
          <w:lang w:val="en-US" w:eastAsia="zh-CN"/>
        </w:rPr>
        <w:t>实验内容</w:t>
      </w:r>
    </w:p>
    <w:p w14:paraId="7E26186C">
      <w:pPr>
        <w:pStyle w:val="14"/>
        <w:numPr>
          <w:ilvl w:val="0"/>
          <w:numId w:val="0"/>
        </w:numPr>
        <w:spacing w:line="360" w:lineRule="auto"/>
        <w:ind w:firstLine="420" w:firstLineChars="0"/>
        <w:rPr>
          <w:rFonts w:hint="default" w:eastAsia="黑体"/>
          <w:sz w:val="21"/>
          <w:szCs w:val="21"/>
          <w:lang w:val="en-US" w:eastAsia="zh-CN"/>
        </w:rPr>
      </w:pPr>
      <w:r>
        <w:rPr>
          <w:rFonts w:hint="default" w:eastAsia="黑体"/>
          <w:sz w:val="21"/>
          <w:szCs w:val="21"/>
          <w:lang w:val="en-US" w:eastAsia="zh-CN"/>
        </w:rPr>
        <w:t>本实验主要利用ArcGIS软件平台，进行数字高程模型（DEM）不同数据结构之间的相互转换与分析。具体内容</w:t>
      </w:r>
      <w:r>
        <w:rPr>
          <w:rFonts w:hint="eastAsia" w:eastAsia="黑体"/>
          <w:sz w:val="21"/>
          <w:szCs w:val="21"/>
          <w:lang w:val="en-US" w:eastAsia="zh-CN"/>
        </w:rPr>
        <w:t>主要为</w:t>
      </w:r>
      <w:r>
        <w:rPr>
          <w:rFonts w:hint="default" w:eastAsia="黑体"/>
          <w:sz w:val="21"/>
          <w:szCs w:val="21"/>
          <w:lang w:val="en-US" w:eastAsia="zh-CN"/>
        </w:rPr>
        <w:t>：</w:t>
      </w:r>
    </w:p>
    <w:p w14:paraId="1C8F232F">
      <w:pPr>
        <w:pStyle w:val="14"/>
        <w:numPr>
          <w:ilvl w:val="0"/>
          <w:numId w:val="3"/>
        </w:numPr>
        <w:spacing w:line="360" w:lineRule="auto"/>
        <w:ind w:left="420" w:leftChars="0" w:firstLine="420" w:firstLineChars="0"/>
        <w:rPr>
          <w:rFonts w:hint="default" w:eastAsia="黑体"/>
          <w:sz w:val="21"/>
          <w:szCs w:val="21"/>
          <w:lang w:val="en-US" w:eastAsia="zh-CN"/>
        </w:rPr>
      </w:pPr>
      <w:r>
        <w:rPr>
          <w:rFonts w:hint="default" w:eastAsia="黑体"/>
          <w:sz w:val="21"/>
          <w:szCs w:val="21"/>
          <w:lang w:val="en-US" w:eastAsia="zh-CN"/>
        </w:rPr>
        <w:t>Grid DEM与Contour（等高线）的相互转换：从栅格DEM提取等高线，以及利用提取的等高线反演生成栅格DEM。</w:t>
      </w:r>
    </w:p>
    <w:p w14:paraId="295CBE41">
      <w:pPr>
        <w:pStyle w:val="14"/>
        <w:numPr>
          <w:ilvl w:val="0"/>
          <w:numId w:val="3"/>
        </w:numPr>
        <w:spacing w:line="360" w:lineRule="auto"/>
        <w:ind w:left="420" w:leftChars="0" w:firstLine="420" w:firstLineChars="0"/>
        <w:rPr>
          <w:rFonts w:hint="default" w:eastAsia="黑体"/>
          <w:sz w:val="21"/>
          <w:szCs w:val="21"/>
          <w:lang w:val="en-US" w:eastAsia="zh-CN"/>
        </w:rPr>
      </w:pPr>
      <w:r>
        <w:rPr>
          <w:rFonts w:hint="default" w:eastAsia="黑体"/>
          <w:sz w:val="21"/>
          <w:szCs w:val="21"/>
          <w:lang w:val="en-US" w:eastAsia="zh-CN"/>
        </w:rPr>
        <w:t>Contour与TIN（不规则三角网）的相互转换：重点探究在“有约束”与“无约束”两种不同条件下，利用等高线构建 TIN 模型的差异，并由TIN生成等高线进行对比。</w:t>
      </w:r>
    </w:p>
    <w:p w14:paraId="482CD468">
      <w:pPr>
        <w:pStyle w:val="14"/>
        <w:numPr>
          <w:ilvl w:val="0"/>
          <w:numId w:val="3"/>
        </w:numPr>
        <w:spacing w:line="360" w:lineRule="auto"/>
        <w:ind w:left="420" w:leftChars="0" w:firstLine="420" w:firstLineChars="0"/>
        <w:rPr>
          <w:rFonts w:hint="default" w:eastAsia="黑体"/>
          <w:sz w:val="21"/>
          <w:szCs w:val="21"/>
          <w:lang w:val="en-US" w:eastAsia="zh-CN"/>
        </w:rPr>
      </w:pPr>
      <w:r>
        <w:rPr>
          <w:rFonts w:hint="default" w:eastAsia="黑体"/>
          <w:sz w:val="21"/>
          <w:szCs w:val="21"/>
          <w:lang w:val="en-US" w:eastAsia="zh-CN"/>
        </w:rPr>
        <w:t>Grid DEM与TIN的相互转换：实现栅格数据与TIN矢量数据的直接互转。</w:t>
      </w:r>
    </w:p>
    <w:p w14:paraId="6A3037D3">
      <w:pPr>
        <w:pStyle w:val="14"/>
        <w:numPr>
          <w:ilvl w:val="0"/>
          <w:numId w:val="2"/>
        </w:numPr>
        <w:spacing w:line="360" w:lineRule="auto"/>
        <w:ind w:left="0" w:leftChars="0" w:firstLine="420" w:firstLineChars="200"/>
        <w:rPr>
          <w:rFonts w:hint="default" w:eastAsia="黑体"/>
          <w:sz w:val="21"/>
          <w:szCs w:val="21"/>
          <w:lang w:val="en-US" w:eastAsia="zh-CN"/>
        </w:rPr>
      </w:pPr>
      <w:r>
        <w:rPr>
          <w:rFonts w:hint="eastAsia" w:eastAsia="黑体"/>
          <w:sz w:val="21"/>
          <w:szCs w:val="21"/>
          <w:lang w:val="en-US" w:eastAsia="zh-CN"/>
        </w:rPr>
        <w:t>实验目的</w:t>
      </w:r>
    </w:p>
    <w:p w14:paraId="5A9B9F4E">
      <w:pPr>
        <w:pStyle w:val="14"/>
        <w:numPr>
          <w:ilvl w:val="0"/>
          <w:numId w:val="4"/>
        </w:numPr>
        <w:spacing w:line="360" w:lineRule="auto"/>
        <w:ind w:leftChars="200"/>
        <w:rPr>
          <w:rFonts w:hint="default" w:eastAsia="黑体"/>
          <w:sz w:val="21"/>
          <w:szCs w:val="21"/>
          <w:lang w:val="en-US" w:eastAsia="zh-CN"/>
        </w:rPr>
      </w:pPr>
      <w:r>
        <w:rPr>
          <w:rFonts w:hint="default" w:eastAsia="黑体"/>
          <w:sz w:val="21"/>
          <w:szCs w:val="21"/>
          <w:lang w:val="en-US" w:eastAsia="zh-CN"/>
        </w:rPr>
        <w:t>掌握数据转换工具： 熟练掌握ArcGIS中3D Analyst和Spatial Analyst模块关于栅格、等高线（矢量）与TIN之间的转换工具及参数设置</w:t>
      </w:r>
      <w:r>
        <w:rPr>
          <w:rFonts w:hint="eastAsia" w:eastAsia="黑体"/>
          <w:sz w:val="21"/>
          <w:szCs w:val="21"/>
          <w:lang w:val="en-US" w:eastAsia="zh-CN"/>
        </w:rPr>
        <w:t>。</w:t>
      </w:r>
    </w:p>
    <w:p w14:paraId="51A55A59">
      <w:pPr>
        <w:pStyle w:val="14"/>
        <w:numPr>
          <w:ilvl w:val="0"/>
          <w:numId w:val="4"/>
        </w:numPr>
        <w:spacing w:line="360" w:lineRule="auto"/>
        <w:ind w:leftChars="200"/>
        <w:rPr>
          <w:rFonts w:hint="default" w:eastAsia="黑体"/>
          <w:sz w:val="21"/>
          <w:szCs w:val="21"/>
          <w:lang w:val="en-US" w:eastAsia="zh-CN"/>
        </w:rPr>
      </w:pPr>
      <w:r>
        <w:rPr>
          <w:rFonts w:hint="default" w:eastAsia="黑体"/>
          <w:sz w:val="21"/>
          <w:szCs w:val="21"/>
          <w:lang w:val="en-US" w:eastAsia="zh-CN"/>
        </w:rPr>
        <w:t>理解约束条件的作用：深入理解在由等高线构建TIN时，硬边约束与散点模式的区别，以及约束型三角网对解决“平三角”现象、保持地形连续性的重要意义。</w:t>
      </w:r>
    </w:p>
    <w:p w14:paraId="7166F48B">
      <w:pPr>
        <w:pStyle w:val="14"/>
        <w:numPr>
          <w:ilvl w:val="0"/>
          <w:numId w:val="4"/>
        </w:numPr>
        <w:spacing w:line="360" w:lineRule="auto"/>
        <w:ind w:leftChars="200"/>
        <w:rPr>
          <w:rFonts w:hint="default" w:eastAsia="黑体"/>
          <w:sz w:val="21"/>
          <w:szCs w:val="21"/>
          <w:lang w:val="en-US" w:eastAsia="zh-CN"/>
        </w:rPr>
      </w:pPr>
      <w:r>
        <w:rPr>
          <w:rFonts w:hint="default" w:eastAsia="黑体"/>
          <w:sz w:val="21"/>
          <w:szCs w:val="21"/>
          <w:lang w:val="en-US" w:eastAsia="zh-CN"/>
        </w:rPr>
        <w:t>对比数据精度与特征：通过不同转换路径生成的成果，分析数据在转换过程中的精度损失与地形表达的差异。</w:t>
      </w:r>
    </w:p>
    <w:p w14:paraId="058C6920">
      <w:pPr>
        <w:pStyle w:val="14"/>
        <w:numPr>
          <w:ilvl w:val="0"/>
          <w:numId w:val="1"/>
        </w:numPr>
        <w:spacing w:line="360" w:lineRule="auto"/>
        <w:ind w:firstLineChars="0"/>
        <w:rPr>
          <w:rFonts w:eastAsia="黑体"/>
          <w:sz w:val="28"/>
          <w:szCs w:val="28"/>
        </w:rPr>
      </w:pPr>
      <w:r>
        <w:rPr>
          <w:rFonts w:hint="eastAsia" w:ascii="Times New Roman" w:hAnsi="Times New Roman" w:eastAsia="黑体"/>
          <w:sz w:val="28"/>
          <w:szCs w:val="28"/>
        </w:rPr>
        <w:t>实验数据与流程</w:t>
      </w:r>
    </w:p>
    <w:p w14:paraId="2C468113">
      <w:pPr>
        <w:pStyle w:val="14"/>
        <w:numPr>
          <w:ilvl w:val="0"/>
          <w:numId w:val="5"/>
        </w:numPr>
        <w:spacing w:line="360" w:lineRule="auto"/>
        <w:rPr>
          <w:rFonts w:hint="eastAsia" w:eastAsia="黑体"/>
          <w:sz w:val="21"/>
          <w:szCs w:val="21"/>
        </w:rPr>
      </w:pPr>
      <w:r>
        <w:rPr>
          <w:rFonts w:hint="eastAsia" w:eastAsia="黑体"/>
          <w:sz w:val="21"/>
          <w:szCs w:val="21"/>
        </w:rPr>
        <w:t>实验数据</w:t>
      </w:r>
    </w:p>
    <w:p w14:paraId="2472C9B7">
      <w:pPr>
        <w:pStyle w:val="14"/>
        <w:numPr>
          <w:ilvl w:val="0"/>
          <w:numId w:val="0"/>
        </w:numPr>
        <w:spacing w:line="360" w:lineRule="auto"/>
        <w:ind w:firstLine="420" w:firstLineChars="200"/>
        <w:rPr>
          <w:rFonts w:hint="default" w:eastAsia="黑体"/>
          <w:sz w:val="21"/>
          <w:szCs w:val="21"/>
          <w:lang w:val="en-US" w:eastAsia="zh-CN"/>
        </w:rPr>
      </w:pPr>
      <w:r>
        <w:rPr>
          <w:rFonts w:hint="eastAsia" w:eastAsia="黑体"/>
          <w:sz w:val="21"/>
          <w:szCs w:val="21"/>
        </w:rPr>
        <w:t>本实验采用课程实验指导书中提供的</w:t>
      </w:r>
      <w:r>
        <w:rPr>
          <w:rFonts w:hint="eastAsia" w:eastAsia="黑体"/>
          <w:sz w:val="21"/>
          <w:szCs w:val="21"/>
          <w:lang w:val="en-US" w:eastAsia="zh-CN"/>
        </w:rPr>
        <w:t>DEM</w:t>
      </w:r>
      <w:r>
        <w:rPr>
          <w:rFonts w:hint="eastAsia" w:eastAsia="黑体"/>
          <w:sz w:val="21"/>
          <w:szCs w:val="21"/>
        </w:rPr>
        <w:t>数据文件</w:t>
      </w:r>
      <w:r>
        <w:rPr>
          <w:rFonts w:hint="eastAsia" w:eastAsia="黑体"/>
          <w:sz w:val="21"/>
          <w:szCs w:val="21"/>
          <w:lang w:val="en-US" w:eastAsia="zh-CN"/>
        </w:rPr>
        <w:t>ex9\dem。</w:t>
      </w:r>
    </w:p>
    <w:p w14:paraId="2E97AFE1">
      <w:pPr>
        <w:pStyle w:val="14"/>
        <w:numPr>
          <w:ilvl w:val="0"/>
          <w:numId w:val="5"/>
        </w:numPr>
        <w:spacing w:line="360" w:lineRule="auto"/>
        <w:ind w:left="0" w:leftChars="0" w:firstLine="420" w:firstLineChars="200"/>
        <w:rPr>
          <w:rFonts w:hint="eastAsia" w:eastAsia="黑体"/>
          <w:sz w:val="21"/>
          <w:szCs w:val="21"/>
        </w:rPr>
      </w:pPr>
      <w:r>
        <w:rPr>
          <w:rFonts w:hint="eastAsia" w:eastAsia="黑体"/>
          <w:sz w:val="21"/>
          <w:szCs w:val="21"/>
        </w:rPr>
        <w:t>实验流程</w:t>
      </w:r>
    </w:p>
    <w:p w14:paraId="240541F6">
      <w:pPr>
        <w:pStyle w:val="14"/>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Grid DEM与Contour的转换</w:t>
      </w:r>
    </w:p>
    <w:p w14:paraId="6D39E721">
      <w:pPr>
        <w:pStyle w:val="14"/>
        <w:numPr>
          <w:ilvl w:val="0"/>
          <w:numId w:val="7"/>
        </w:numPr>
        <w:spacing w:line="360" w:lineRule="auto"/>
        <w:ind w:leftChars="400"/>
        <w:rPr>
          <w:rFonts w:hint="default" w:eastAsia="黑体"/>
          <w:sz w:val="21"/>
          <w:szCs w:val="21"/>
          <w:lang w:val="en-US" w:eastAsia="zh-CN"/>
        </w:rPr>
      </w:pPr>
      <m:oMath>
        <m:r>
          <m:rPr/>
          <w:rPr>
            <w:rFonts w:hint="default" w:ascii="Cambria Math" w:hAnsi="Cambria Math" w:eastAsia="黑体"/>
            <w:sz w:val="21"/>
          </w:rPr>
          <m:t>Grid→Contour</m:t>
        </m:r>
      </m:oMath>
      <w:r>
        <w:rPr>
          <w:rFonts w:hint="eastAsia" w:eastAsia="黑体"/>
          <w:sz w:val="21"/>
          <w:szCs w:val="21"/>
          <w:lang w:val="en-US" w:eastAsia="zh-CN"/>
        </w:rPr>
        <w:t>：加载原始DEM数据，设置等高线间距为50，生成等高线矢量文件dgx。</w:t>
      </w:r>
    </w:p>
    <w:p w14:paraId="29B7946A">
      <w:pPr>
        <w:pStyle w:val="14"/>
        <w:numPr>
          <w:ilvl w:val="0"/>
          <w:numId w:val="7"/>
        </w:numPr>
        <w:spacing w:line="360" w:lineRule="auto"/>
        <w:ind w:leftChars="400"/>
        <w:rPr>
          <w:rFonts w:hint="default" w:eastAsia="黑体"/>
          <w:sz w:val="21"/>
          <w:szCs w:val="21"/>
          <w:lang w:val="en-US" w:eastAsia="zh-CN"/>
        </w:rPr>
      </w:pPr>
      <m:oMath>
        <m:r>
          <m:rPr/>
          <w:rPr>
            <w:rFonts w:hint="default" w:ascii="Cambria Math" w:hAnsi="Cambria Math" w:eastAsia="黑体"/>
            <w:sz w:val="21"/>
          </w:rPr>
          <m:t>Contour→Grid</m:t>
        </m:r>
      </m:oMath>
      <w:r>
        <w:rPr>
          <w:rFonts w:hint="eastAsia" w:eastAsia="黑体"/>
          <w:sz w:val="21"/>
          <w:szCs w:val="21"/>
          <w:lang w:val="en-US" w:eastAsia="zh-CN"/>
        </w:rPr>
        <w:t>：利用上一步生成的dgx等高线数据，使用“地形转栅格”工具生成栅格文件dgx_sg，并观察高程反演效果（如低地变高地等失真现象）。</w:t>
      </w:r>
    </w:p>
    <w:p w14:paraId="65DA493B">
      <w:pPr>
        <w:pStyle w:val="14"/>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Contour与TIN的转换</w:t>
      </w:r>
    </w:p>
    <w:p w14:paraId="1DB4727F">
      <w:pPr>
        <w:pStyle w:val="14"/>
        <w:numPr>
          <w:ilvl w:val="0"/>
          <w:numId w:val="8"/>
        </w:numPr>
        <w:spacing w:line="360" w:lineRule="auto"/>
        <w:ind w:leftChars="400"/>
        <w:rPr>
          <w:rFonts w:hint="default" w:eastAsia="黑体"/>
          <w:sz w:val="21"/>
          <w:szCs w:val="21"/>
          <w:lang w:val="en-US" w:eastAsia="zh-CN"/>
        </w:rPr>
      </w:pPr>
      <m:oMath>
        <m:r>
          <m:rPr/>
          <w:rPr>
            <w:rFonts w:hint="default" w:ascii="Cambria Math" w:hAnsi="Cambria Math" w:eastAsia="黑体"/>
            <w:sz w:val="21"/>
          </w:rPr>
          <m:t>Contour→TIN</m:t>
        </m:r>
      </m:oMath>
      <w:r>
        <w:rPr>
          <w:rFonts w:hint="eastAsia" w:eastAsia="黑体"/>
          <w:sz w:val="21"/>
          <w:szCs w:val="21"/>
          <w:lang w:val="en-US" w:eastAsia="zh-CN"/>
        </w:rPr>
        <w:t>（有约束）： 使用dgx文件构建TIN。关键设置：将SF类型设置为“硬边”，并勾选“约束型Delaunay”。生成文件ct_t，此方法可有效避免“平三角”现象。</w:t>
      </w:r>
    </w:p>
    <w:p w14:paraId="18DADD10">
      <w:pPr>
        <w:pStyle w:val="14"/>
        <w:numPr>
          <w:ilvl w:val="0"/>
          <w:numId w:val="8"/>
        </w:numPr>
        <w:spacing w:line="360" w:lineRule="auto"/>
        <w:ind w:leftChars="400"/>
        <w:rPr>
          <w:rFonts w:hint="default" w:eastAsia="黑体"/>
          <w:sz w:val="21"/>
          <w:szCs w:val="21"/>
          <w:lang w:val="en-US" w:eastAsia="zh-CN"/>
        </w:rPr>
      </w:pPr>
      <m:oMath>
        <m:r>
          <m:rPr/>
          <w:rPr>
            <w:rFonts w:hint="default" w:ascii="Cambria Math" w:hAnsi="Cambria Math" w:eastAsia="黑体"/>
            <w:sz w:val="21"/>
          </w:rPr>
          <m:t>Contour→TIN</m:t>
        </m:r>
      </m:oMath>
      <w:r>
        <w:rPr>
          <w:rFonts w:hint="eastAsia" w:eastAsia="黑体"/>
          <w:sz w:val="21"/>
          <w:szCs w:val="21"/>
          <w:lang w:val="en-US" w:eastAsia="zh-CN"/>
        </w:rPr>
        <w:t>（无约束）： 使用dgx文件构建TIN。关键设置：将SF类型设置为“散点”。生成文件 ct_f，观察其生成的平坦区域与“平三角”问题。</w:t>
      </w:r>
    </w:p>
    <w:p w14:paraId="6E5F0FC1">
      <w:pPr>
        <w:pStyle w:val="14"/>
        <w:numPr>
          <w:ilvl w:val="0"/>
          <w:numId w:val="8"/>
        </w:numPr>
        <w:spacing w:line="360" w:lineRule="auto"/>
        <w:ind w:leftChars="400"/>
        <w:rPr>
          <w:rFonts w:hint="default" w:eastAsia="黑体"/>
          <w:sz w:val="21"/>
          <w:szCs w:val="21"/>
          <w:lang w:val="en-US" w:eastAsia="zh-CN"/>
        </w:rPr>
      </w:pPr>
      <m:oMath>
        <m:r>
          <m:rPr/>
          <w:rPr>
            <w:rFonts w:hint="default" w:ascii="Cambria Math" w:hAnsi="Cambria Math" w:eastAsia="黑体"/>
            <w:sz w:val="21"/>
          </w:rPr>
          <m:t>TIN→Contour</m:t>
        </m:r>
      </m:oMath>
      <w:r>
        <w:rPr>
          <w:rFonts w:hint="eastAsia" w:eastAsia="黑体"/>
          <w:sz w:val="21"/>
          <w:szCs w:val="21"/>
          <w:lang w:val="en-US" w:eastAsia="zh-CN"/>
        </w:rPr>
        <w:t>：分别利用ct_t和ct_f生成等高线文件dgx_t和dgx_f，对比其与原始等高线的细节差异。</w:t>
      </w:r>
    </w:p>
    <w:p w14:paraId="51B24D02">
      <w:pPr>
        <w:pStyle w:val="14"/>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Grid DEM与TIN的直接转换</w:t>
      </w:r>
    </w:p>
    <w:p w14:paraId="144ED075">
      <w:pPr>
        <w:pStyle w:val="14"/>
        <w:numPr>
          <w:ilvl w:val="0"/>
          <w:numId w:val="9"/>
        </w:numPr>
        <w:spacing w:line="360" w:lineRule="auto"/>
        <w:ind w:leftChars="400"/>
        <w:rPr>
          <w:rFonts w:hint="default" w:eastAsia="黑体"/>
          <w:sz w:val="21"/>
          <w:szCs w:val="21"/>
          <w:lang w:val="en-US" w:eastAsia="zh-CN"/>
        </w:rPr>
      </w:pPr>
      <m:oMath>
        <m:r>
          <m:rPr/>
          <w:rPr>
            <w:rFonts w:hint="default" w:ascii="Cambria Math" w:hAnsi="Cambria Math" w:eastAsia="黑体"/>
            <w:sz w:val="21"/>
          </w:rPr>
          <m:t>Grid→TIN</m:t>
        </m:r>
      </m:oMath>
      <w:r>
        <w:rPr>
          <w:rFonts w:hint="eastAsia" w:eastAsia="黑体"/>
          <w:sz w:val="21"/>
          <w:szCs w:val="21"/>
          <w:lang w:val="en-US" w:eastAsia="zh-CN"/>
        </w:rPr>
        <w:t>：将原始DEM数据直接转换为TIN模型，设置Z容差，生成文件dt，观察平坦与复杂地形下的三角形分布特征。</w:t>
      </w:r>
    </w:p>
    <w:p w14:paraId="1A77541E">
      <w:pPr>
        <w:pStyle w:val="14"/>
        <w:numPr>
          <w:ilvl w:val="0"/>
          <w:numId w:val="9"/>
        </w:numPr>
        <w:spacing w:line="360" w:lineRule="auto"/>
        <w:ind w:leftChars="400"/>
        <w:rPr>
          <w:rFonts w:hint="default" w:eastAsia="黑体"/>
          <w:sz w:val="21"/>
          <w:szCs w:val="21"/>
          <w:lang w:val="en-US" w:eastAsia="zh-CN"/>
        </w:rPr>
      </w:pPr>
      <m:oMath>
        <m:r>
          <m:rPr/>
          <w:rPr>
            <w:rFonts w:hint="default" w:ascii="Cambria Math" w:hAnsi="Cambria Math" w:eastAsia="黑体"/>
            <w:sz w:val="21"/>
          </w:rPr>
          <m:t>TIN→Grid</m:t>
        </m:r>
      </m:oMath>
      <w:r>
        <w:rPr>
          <w:rFonts w:hint="eastAsia" w:eastAsia="黑体"/>
          <w:sz w:val="21"/>
          <w:szCs w:val="21"/>
          <w:lang w:val="en-US" w:eastAsia="zh-CN"/>
        </w:rPr>
        <w:t>：分别将有约束TIN（ct_t）和无约束TIN（ct_f）转换为栅格DEM（sg_t和sg_f），采样距离设置为OBSERVATIONS 250，对比最终的栅格化效果。</w:t>
      </w:r>
    </w:p>
    <w:p w14:paraId="321EE331">
      <w:pPr>
        <w:pStyle w:val="14"/>
        <w:numPr>
          <w:ilvl w:val="0"/>
          <w:numId w:val="1"/>
        </w:numPr>
        <w:spacing w:line="360" w:lineRule="auto"/>
        <w:ind w:firstLineChars="0"/>
        <w:rPr>
          <w:rFonts w:hint="eastAsia" w:ascii="Times New Roman" w:hAnsi="Times New Roman" w:eastAsia="黑体"/>
          <w:sz w:val="28"/>
          <w:szCs w:val="28"/>
        </w:rPr>
      </w:pPr>
      <w:r>
        <w:rPr>
          <w:rFonts w:hint="eastAsia" w:ascii="Times New Roman" w:hAnsi="Times New Roman" w:eastAsia="黑体"/>
          <w:sz w:val="28"/>
          <w:szCs w:val="28"/>
        </w:rPr>
        <w:t>实验步骤及结果</w:t>
      </w:r>
    </w:p>
    <w:p w14:paraId="2A7AAF03">
      <w:pPr>
        <w:pStyle w:val="14"/>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Grid DEM与Contour（等高线）的相互转换</w:t>
      </w:r>
    </w:p>
    <w:p w14:paraId="0D814825">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Grid DEM生成等高线（Grid</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Contour）</w:t>
      </w:r>
    </w:p>
    <w:p w14:paraId="544AE59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打开ArcMap，加载原始栅格数据dem。如图所示。</w:t>
      </w:r>
    </w:p>
    <w:p w14:paraId="338B2C56">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黑体"/>
          <w:sz w:val="21"/>
          <w:szCs w:val="21"/>
          <w:lang w:val="en-US" w:eastAsia="zh-CN"/>
        </w:rPr>
      </w:pPr>
      <w:r>
        <w:drawing>
          <wp:inline distT="0" distB="0" distL="114300" distR="114300">
            <wp:extent cx="5261610" cy="3293110"/>
            <wp:effectExtent l="0" t="0" r="15240" b="25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5261610" cy="3293110"/>
                    </a:xfrm>
                    <a:prstGeom prst="rect">
                      <a:avLst/>
                    </a:prstGeom>
                    <a:noFill/>
                    <a:ln>
                      <a:noFill/>
                    </a:ln>
                  </pic:spPr>
                </pic:pic>
              </a:graphicData>
            </a:graphic>
          </wp:inline>
        </w:drawing>
      </w:r>
    </w:p>
    <w:p w14:paraId="6F8063C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在ArcToolbox中依次选择【3D Analyst 工具】-【栅格表面】-【等值线】。输入栅格设置为dem，输出折线要素设置为dgx.shp，等值线间距设置为50。如图所示。点击确定。</w:t>
      </w:r>
    </w:p>
    <w:p w14:paraId="417A7A7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456940" cy="2750185"/>
            <wp:effectExtent l="0" t="0" r="10160" b="1206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3456940" cy="2750185"/>
                    </a:xfrm>
                    <a:prstGeom prst="rect">
                      <a:avLst/>
                    </a:prstGeom>
                    <a:noFill/>
                    <a:ln>
                      <a:noFill/>
                    </a:ln>
                  </pic:spPr>
                </pic:pic>
              </a:graphicData>
            </a:graphic>
          </wp:inline>
        </w:drawing>
      </w:r>
    </w:p>
    <w:p w14:paraId="032839CB">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生成的dgx图层如图所示。叠加在原始DEM上观察，等高线与地形起伏吻合，能够反映地形特征。</w:t>
      </w:r>
    </w:p>
    <w:p w14:paraId="28DCAD4B">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drawing>
          <wp:inline distT="0" distB="0" distL="114300" distR="114300">
            <wp:extent cx="5261610" cy="3293110"/>
            <wp:effectExtent l="0" t="0" r="15240" b="254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
                    <a:stretch>
                      <a:fillRect/>
                    </a:stretch>
                  </pic:blipFill>
                  <pic:spPr>
                    <a:xfrm>
                      <a:off x="0" y="0"/>
                      <a:ext cx="5261610" cy="3293110"/>
                    </a:xfrm>
                    <a:prstGeom prst="rect">
                      <a:avLst/>
                    </a:prstGeom>
                    <a:noFill/>
                    <a:ln>
                      <a:noFill/>
                    </a:ln>
                  </pic:spPr>
                </pic:pic>
              </a:graphicData>
            </a:graphic>
          </wp:inline>
        </w:drawing>
      </w:r>
    </w:p>
    <w:p w14:paraId="0A9E7C3E">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等高线反演栅格DEM</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Contour→Grid</w:t>
      </w:r>
      <w:r>
        <w:rPr>
          <w:rFonts w:hint="eastAsia" w:ascii="Times New Roman" w:hAnsi="Times New Roman" w:eastAsia="黑体"/>
          <w:sz w:val="21"/>
          <w:szCs w:val="21"/>
          <w:lang w:val="en-US" w:eastAsia="zh-CN"/>
        </w:rPr>
        <w:t>）</w:t>
      </w:r>
    </w:p>
    <w:p w14:paraId="7925548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利用上一步生成的等高线数据dgx，尝试恢复栅格DEM。在ArcToolbox中依次选择【3D Analyst 工具】-【栅格插值】-【地形转栅格】。输入要素数据选择dgx，字段选择CONTOUR，输出表面栅格设置为dgx_sg，其它保持默认。如图所示。点击确定。</w:t>
      </w:r>
    </w:p>
    <w:p w14:paraId="7CA524AB">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726180" cy="2965450"/>
            <wp:effectExtent l="0" t="0" r="7620" b="635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7"/>
                    <a:stretch>
                      <a:fillRect/>
                    </a:stretch>
                  </pic:blipFill>
                  <pic:spPr>
                    <a:xfrm>
                      <a:off x="0" y="0"/>
                      <a:ext cx="3726180" cy="2965450"/>
                    </a:xfrm>
                    <a:prstGeom prst="rect">
                      <a:avLst/>
                    </a:prstGeom>
                    <a:noFill/>
                    <a:ln>
                      <a:noFill/>
                    </a:ln>
                  </pic:spPr>
                </pic:pic>
              </a:graphicData>
            </a:graphic>
          </wp:inline>
        </w:drawing>
      </w:r>
    </w:p>
    <w:p w14:paraId="1B32A566">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生成结果如图所示。与原始DEM数据进行对比，可以发现数据有显著偏差，出现了明显的失真现象，原本为低地的区域在反演结果中变成了高地，地形细节丢失严重。</w:t>
      </w:r>
    </w:p>
    <w:p w14:paraId="4CEFB099">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drawing>
          <wp:inline distT="0" distB="0" distL="114300" distR="114300">
            <wp:extent cx="5261610" cy="3293110"/>
            <wp:effectExtent l="0" t="0" r="15240" b="254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8"/>
                    <a:stretch>
                      <a:fillRect/>
                    </a:stretch>
                  </pic:blipFill>
                  <pic:spPr>
                    <a:xfrm>
                      <a:off x="0" y="0"/>
                      <a:ext cx="5261610" cy="3293110"/>
                    </a:xfrm>
                    <a:prstGeom prst="rect">
                      <a:avLst/>
                    </a:prstGeom>
                    <a:noFill/>
                    <a:ln>
                      <a:noFill/>
                    </a:ln>
                  </pic:spPr>
                </pic:pic>
              </a:graphicData>
            </a:graphic>
          </wp:inline>
        </w:drawing>
      </w:r>
    </w:p>
    <w:p w14:paraId="2ABD23EE">
      <w:pPr>
        <w:pStyle w:val="14"/>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Contour与TIN的相互转换</w:t>
      </w:r>
    </w:p>
    <w:p w14:paraId="4FC9CBD2">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等高线构建TIN模型（Contour</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TIN）</w:t>
      </w:r>
    </w:p>
    <w:p w14:paraId="2E05A039">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本步骤重点对比“有约束”与“无约束”两种构建方式的差异。</w:t>
      </w:r>
    </w:p>
    <w:p w14:paraId="6AFE5CAC">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有约束条件的转换：在ArcToolbox中依次选择【3D Analyst 工具】-【数据管理】-【TIN】-【创建TIN】。输出TIN设置为ct_t，输入要素类设置为dgx，高度字段选择CONTOUR，SF类型选择“Hard_Line”、勾选“约束型Delaunay”。点击确定。</w:t>
      </w:r>
    </w:p>
    <w:p w14:paraId="008022DB">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919220" cy="2950845"/>
            <wp:effectExtent l="0" t="0" r="5080" b="190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9"/>
                    <a:stretch>
                      <a:fillRect/>
                    </a:stretch>
                  </pic:blipFill>
                  <pic:spPr>
                    <a:xfrm>
                      <a:off x="0" y="0"/>
                      <a:ext cx="3919220" cy="2950845"/>
                    </a:xfrm>
                    <a:prstGeom prst="rect">
                      <a:avLst/>
                    </a:prstGeom>
                    <a:noFill/>
                    <a:ln>
                      <a:noFill/>
                    </a:ln>
                  </pic:spPr>
                </pic:pic>
              </a:graphicData>
            </a:graphic>
          </wp:inline>
        </w:drawing>
      </w:r>
    </w:p>
    <w:p w14:paraId="2B6A8F55">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如图所示，生成的TIN模型地形过渡自然。由于使用了硬边约束，高程严格受限于等高线边界，有效避免了“平三角”现象，准确反映了山脊和谷底形态。</w:t>
      </w:r>
    </w:p>
    <w:p w14:paraId="0899B2F8">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imes New Roman" w:hAnsi="Times New Roman" w:eastAsia="黑体"/>
          <w:sz w:val="21"/>
          <w:szCs w:val="21"/>
          <w:lang w:val="en-US" w:eastAsia="zh-CN"/>
        </w:rPr>
      </w:pPr>
      <w:r>
        <w:drawing>
          <wp:inline distT="0" distB="0" distL="114300" distR="114300">
            <wp:extent cx="5261610" cy="3293110"/>
            <wp:effectExtent l="0" t="0" r="15240" b="254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0"/>
                    <a:stretch>
                      <a:fillRect/>
                    </a:stretch>
                  </pic:blipFill>
                  <pic:spPr>
                    <a:xfrm>
                      <a:off x="0" y="0"/>
                      <a:ext cx="5261610" cy="3293110"/>
                    </a:xfrm>
                    <a:prstGeom prst="rect">
                      <a:avLst/>
                    </a:prstGeom>
                    <a:noFill/>
                    <a:ln>
                      <a:noFill/>
                    </a:ln>
                  </pic:spPr>
                </pic:pic>
              </a:graphicData>
            </a:graphic>
          </wp:inline>
        </w:drawing>
      </w:r>
    </w:p>
    <w:p w14:paraId="032D7E3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无约束条件的转换：在ArcToolbox中依次选择【3D Analyst 工具】-【数据管理】-【TIN】-【创建TIN】。输出TIN设置为ct_f，输入要素类设置为dgx，高度字段选择CONTOUR，SF类型选择“Mass_Points”、</w:t>
      </w:r>
      <w:r>
        <w:rPr>
          <w:rFonts w:hint="eastAsia" w:ascii="Times New Roman" w:hAnsi="Times New Roman" w:eastAsia="黑体"/>
          <w:sz w:val="21"/>
          <w:szCs w:val="21"/>
          <w:u w:val="single"/>
          <w:lang w:val="en-US" w:eastAsia="zh-CN"/>
        </w:rPr>
        <w:t>不勾选“约束型Delaunay”</w:t>
      </w:r>
      <w:r>
        <w:rPr>
          <w:rFonts w:hint="eastAsia" w:ascii="Times New Roman" w:hAnsi="Times New Roman" w:eastAsia="黑体"/>
          <w:sz w:val="21"/>
          <w:szCs w:val="21"/>
          <w:lang w:val="en-US" w:eastAsia="zh-CN"/>
        </w:rPr>
        <w:t>。点击确定。</w:t>
      </w:r>
    </w:p>
    <w:p w14:paraId="2B57EA6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916680" cy="2947670"/>
            <wp:effectExtent l="0" t="0" r="7620" b="508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1"/>
                    <a:stretch>
                      <a:fillRect/>
                    </a:stretch>
                  </pic:blipFill>
                  <pic:spPr>
                    <a:xfrm>
                      <a:off x="0" y="0"/>
                      <a:ext cx="3916680" cy="2947670"/>
                    </a:xfrm>
                    <a:prstGeom prst="rect">
                      <a:avLst/>
                    </a:prstGeom>
                    <a:noFill/>
                    <a:ln>
                      <a:noFill/>
                    </a:ln>
                  </pic:spPr>
                </pic:pic>
              </a:graphicData>
            </a:graphic>
          </wp:inline>
        </w:drawing>
      </w:r>
    </w:p>
    <w:p w14:paraId="394E21F8">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如图所示，生成的TIN模型在等高线之间的过渡区域出现了大片像素值完全一致的平面，即典型的 “平三角”现象，地形呈现阶梯状，连续性较差。</w:t>
      </w:r>
    </w:p>
    <w:p w14:paraId="466776A6">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drawing>
          <wp:inline distT="0" distB="0" distL="114300" distR="114300">
            <wp:extent cx="5261610" cy="3293110"/>
            <wp:effectExtent l="0" t="0" r="15240" b="254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2"/>
                    <a:stretch>
                      <a:fillRect/>
                    </a:stretch>
                  </pic:blipFill>
                  <pic:spPr>
                    <a:xfrm>
                      <a:off x="0" y="0"/>
                      <a:ext cx="5261610" cy="3293110"/>
                    </a:xfrm>
                    <a:prstGeom prst="rect">
                      <a:avLst/>
                    </a:prstGeom>
                    <a:noFill/>
                    <a:ln>
                      <a:noFill/>
                    </a:ln>
                  </pic:spPr>
                </pic:pic>
              </a:graphicData>
            </a:graphic>
          </wp:inline>
        </w:drawing>
      </w:r>
    </w:p>
    <w:p w14:paraId="1E43A491">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TIN生成等高线</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TIN→Contour</w:t>
      </w:r>
      <w:r>
        <w:rPr>
          <w:rFonts w:hint="eastAsia" w:ascii="Times New Roman" w:hAnsi="Times New Roman" w:eastAsia="黑体"/>
          <w:sz w:val="21"/>
          <w:szCs w:val="21"/>
          <w:lang w:val="en-US" w:eastAsia="zh-CN"/>
        </w:rPr>
        <w:t>）</w:t>
      </w:r>
    </w:p>
    <w:p w14:paraId="0BC090E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default" w:ascii="Times New Roman" w:hAnsi="Times New Roman" w:eastAsia="黑体"/>
          <w:sz w:val="21"/>
          <w:szCs w:val="21"/>
          <w:lang w:val="en-US" w:eastAsia="zh-CN"/>
        </w:rPr>
        <w:t>分别使用</w:t>
      </w:r>
      <w:r>
        <w:rPr>
          <w:rFonts w:hint="eastAsia" w:ascii="Times New Roman" w:hAnsi="Times New Roman" w:eastAsia="黑体"/>
          <w:sz w:val="21"/>
          <w:szCs w:val="21"/>
          <w:lang w:val="en-US" w:eastAsia="zh-CN"/>
        </w:rPr>
        <w:t>ct_t</w:t>
      </w:r>
      <w:r>
        <w:rPr>
          <w:rFonts w:hint="default" w:ascii="Times New Roman" w:hAnsi="Times New Roman" w:eastAsia="黑体"/>
          <w:sz w:val="21"/>
          <w:szCs w:val="21"/>
          <w:lang w:val="en-US" w:eastAsia="zh-CN"/>
        </w:rPr>
        <w:t>和</w:t>
      </w:r>
      <w:r>
        <w:rPr>
          <w:rFonts w:hint="eastAsia" w:ascii="Times New Roman" w:hAnsi="Times New Roman" w:eastAsia="黑体"/>
          <w:sz w:val="21"/>
          <w:szCs w:val="21"/>
          <w:lang w:val="en-US" w:eastAsia="zh-CN"/>
        </w:rPr>
        <w:t>ct_f</w:t>
      </w:r>
      <w:r>
        <w:rPr>
          <w:rFonts w:hint="default" w:ascii="Times New Roman" w:hAnsi="Times New Roman" w:eastAsia="黑体"/>
          <w:sz w:val="21"/>
          <w:szCs w:val="21"/>
          <w:lang w:val="en-US" w:eastAsia="zh-CN"/>
        </w:rPr>
        <w:t>生成等高线，以验证TIN的精度。</w:t>
      </w:r>
      <w:r>
        <w:rPr>
          <w:rFonts w:hint="eastAsia" w:ascii="Times New Roman" w:hAnsi="Times New Roman" w:eastAsia="黑体"/>
          <w:sz w:val="21"/>
          <w:szCs w:val="21"/>
          <w:lang w:val="en-US" w:eastAsia="zh-CN"/>
        </w:rPr>
        <w:t>在ArcToolbox中依次</w:t>
      </w:r>
      <w:r>
        <w:rPr>
          <w:rFonts w:hint="default" w:ascii="Times New Roman" w:hAnsi="Times New Roman" w:eastAsia="黑体"/>
          <w:sz w:val="21"/>
          <w:szCs w:val="21"/>
          <w:lang w:val="en-US" w:eastAsia="zh-CN"/>
        </w:rPr>
        <w:t>选择【3D Analyst 工具】</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表面三角化</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【表面等值线】。</w:t>
      </w:r>
      <w:r>
        <w:rPr>
          <w:rFonts w:hint="eastAsia" w:ascii="Times New Roman" w:hAnsi="Times New Roman" w:eastAsia="黑体"/>
          <w:sz w:val="21"/>
          <w:szCs w:val="21"/>
          <w:lang w:val="en-US" w:eastAsia="zh-CN"/>
        </w:rPr>
        <w:t>输入表面分别选择ct_t和ct_f，等值线间距设置为50，输出要素类分布设置为dgx_t和dgx_f，其它保持默认。</w:t>
      </w:r>
    </w:p>
    <w:p w14:paraId="4B639B0F">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2972435" cy="2237105"/>
            <wp:effectExtent l="0" t="0" r="18415" b="1079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3"/>
                    <a:stretch>
                      <a:fillRect/>
                    </a:stretch>
                  </pic:blipFill>
                  <pic:spPr>
                    <a:xfrm>
                      <a:off x="0" y="0"/>
                      <a:ext cx="2972435" cy="2237105"/>
                    </a:xfrm>
                    <a:prstGeom prst="rect">
                      <a:avLst/>
                    </a:prstGeom>
                    <a:noFill/>
                    <a:ln>
                      <a:noFill/>
                    </a:ln>
                  </pic:spPr>
                </pic:pic>
              </a:graphicData>
            </a:graphic>
          </wp:inline>
        </w:drawing>
      </w:r>
    </w:p>
    <w:p w14:paraId="0B8F311E">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输出结果如图所示。由TIN生成的等高线与由原始DEM生成的等高线相比，虽然总体趋势一致，但在局部弯曲和微地貌表达上丢失了部分细节，线条较为生硬。</w:t>
      </w:r>
    </w:p>
    <w:p w14:paraId="6DBA0B9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4817745" cy="2851150"/>
            <wp:effectExtent l="0" t="0" r="1905" b="635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4"/>
                    <a:stretch>
                      <a:fillRect/>
                    </a:stretch>
                  </pic:blipFill>
                  <pic:spPr>
                    <a:xfrm>
                      <a:off x="0" y="0"/>
                      <a:ext cx="4817745" cy="2851150"/>
                    </a:xfrm>
                    <a:prstGeom prst="rect">
                      <a:avLst/>
                    </a:prstGeom>
                    <a:noFill/>
                    <a:ln>
                      <a:noFill/>
                    </a:ln>
                  </pic:spPr>
                </pic:pic>
              </a:graphicData>
            </a:graphic>
          </wp:inline>
        </w:drawing>
      </w:r>
    </w:p>
    <w:p w14:paraId="2D086FD9">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黑体"/>
          <w:sz w:val="21"/>
          <w:szCs w:val="21"/>
          <w:lang w:val="en-US" w:eastAsia="zh-CN"/>
        </w:rPr>
      </w:pPr>
      <w:r>
        <w:drawing>
          <wp:inline distT="0" distB="0" distL="114300" distR="114300">
            <wp:extent cx="4818380" cy="2827655"/>
            <wp:effectExtent l="0" t="0" r="1270" b="10795"/>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5"/>
                    <a:stretch>
                      <a:fillRect/>
                    </a:stretch>
                  </pic:blipFill>
                  <pic:spPr>
                    <a:xfrm>
                      <a:off x="0" y="0"/>
                      <a:ext cx="4818380" cy="2827655"/>
                    </a:xfrm>
                    <a:prstGeom prst="rect">
                      <a:avLst/>
                    </a:prstGeom>
                    <a:noFill/>
                    <a:ln>
                      <a:noFill/>
                    </a:ln>
                  </pic:spPr>
                </pic:pic>
              </a:graphicData>
            </a:graphic>
          </wp:inline>
        </w:drawing>
      </w:r>
    </w:p>
    <w:p w14:paraId="5E21ED16">
      <w:pPr>
        <w:pStyle w:val="14"/>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Grid DEM与TIN的直接相互转换</w:t>
      </w:r>
    </w:p>
    <w:p w14:paraId="69395C14">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栅格DEM转TIN（Grid</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TIN）</w:t>
      </w:r>
    </w:p>
    <w:p w14:paraId="78A0D69E">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在ArcToolbox中依次选择【3D Analyst 工具】-【转换】-【由栅格转出】-【栅格转TIN】。输入栅格选择dem，输出TIN设置为dt，Z容差保持默认的87.64。点击确定。</w:t>
      </w:r>
    </w:p>
    <w:p w14:paraId="7F936DEA">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905250" cy="2939415"/>
            <wp:effectExtent l="0" t="0" r="0" b="1333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6"/>
                    <a:stretch>
                      <a:fillRect/>
                    </a:stretch>
                  </pic:blipFill>
                  <pic:spPr>
                    <a:xfrm>
                      <a:off x="0" y="0"/>
                      <a:ext cx="3905250" cy="2939415"/>
                    </a:xfrm>
                    <a:prstGeom prst="rect">
                      <a:avLst/>
                    </a:prstGeom>
                    <a:noFill/>
                    <a:ln>
                      <a:noFill/>
                    </a:ln>
                  </pic:spPr>
                </pic:pic>
              </a:graphicData>
            </a:graphic>
          </wp:inline>
        </w:drawing>
      </w:r>
    </w:p>
    <w:p w14:paraId="11D6918F">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结果如图所示。生成的TIN模型展现了多分辨率特征。在地形平坦区域，三角形面积较大；在地形破碎、起伏剧烈的区域，三角形面积较小且分布密集。这种结构在保证地形精度的同时有效压缩了数据量。</w:t>
      </w:r>
      <w:r>
        <w:rPr>
          <w:rFonts w:hint="eastAsia" w:ascii="Times New Roman" w:hAnsi="Times New Roman" w:eastAsia="黑体"/>
          <w:sz w:val="21"/>
          <w:szCs w:val="21"/>
          <w:lang w:val="en-US" w:eastAsia="zh-CN"/>
        </w:rPr>
        <w:br w:type="textWrapping"/>
      </w:r>
      <w:r>
        <w:drawing>
          <wp:inline distT="0" distB="0" distL="114300" distR="114300">
            <wp:extent cx="5261610" cy="3293110"/>
            <wp:effectExtent l="0" t="0" r="1524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7"/>
                    <a:stretch>
                      <a:fillRect/>
                    </a:stretch>
                  </pic:blipFill>
                  <pic:spPr>
                    <a:xfrm>
                      <a:off x="0" y="0"/>
                      <a:ext cx="5261610" cy="3293110"/>
                    </a:xfrm>
                    <a:prstGeom prst="rect">
                      <a:avLst/>
                    </a:prstGeom>
                    <a:noFill/>
                    <a:ln>
                      <a:noFill/>
                    </a:ln>
                  </pic:spPr>
                </pic:pic>
              </a:graphicData>
            </a:graphic>
          </wp:inline>
        </w:drawing>
      </w:r>
    </w:p>
    <w:p w14:paraId="031AC486">
      <w:pPr>
        <w:pStyle w:val="14"/>
        <w:keepNext w:val="0"/>
        <w:keepLines w:val="0"/>
        <w:pageBreakBefore w:val="0"/>
        <w:widowControl w:val="0"/>
        <w:numPr>
          <w:ilvl w:val="1"/>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TIN转栅格DEM（TIN</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Grid）</w:t>
      </w:r>
    </w:p>
    <w:p w14:paraId="55986CA7">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分别将有约束TIN（ct_t）和无约束TIN（ct_f）转换回栅格。在ArcToolbox中依次选择【3D Analyst 工具】-【转换】-【由TIN转出】-【TIN转栅格】。输入TIN分别选择ct_t和ct_f，输出栅格分别设置为sg_t和sg_f，其它保持默认。点击确定。</w:t>
      </w:r>
    </w:p>
    <w:p w14:paraId="010A5653">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sz w:val="21"/>
          <w:szCs w:val="21"/>
          <w:lang w:val="en-US" w:eastAsia="zh-CN"/>
        </w:rPr>
      </w:pPr>
      <w:r>
        <w:drawing>
          <wp:inline distT="0" distB="0" distL="114300" distR="114300">
            <wp:extent cx="3908425" cy="2942590"/>
            <wp:effectExtent l="0" t="0" r="15875" b="1016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18"/>
                    <a:stretch>
                      <a:fillRect/>
                    </a:stretch>
                  </pic:blipFill>
                  <pic:spPr>
                    <a:xfrm>
                      <a:off x="0" y="0"/>
                      <a:ext cx="3908425" cy="2942590"/>
                    </a:xfrm>
                    <a:prstGeom prst="rect">
                      <a:avLst/>
                    </a:prstGeom>
                    <a:noFill/>
                    <a:ln>
                      <a:noFill/>
                    </a:ln>
                  </pic:spPr>
                </pic:pic>
              </a:graphicData>
            </a:graphic>
          </wp:inline>
        </w:drawing>
      </w:r>
    </w:p>
    <w:p w14:paraId="3E233EEA">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生成结果如图所示。生成的栅格文件在视觉效果上差异不大，均能还原大致地形，但受限于采样方式，细节上不及原始 DEM 精细 。</w:t>
      </w:r>
    </w:p>
    <w:p w14:paraId="095BB26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黑体"/>
          <w:sz w:val="21"/>
          <w:szCs w:val="21"/>
          <w:lang w:val="en-US" w:eastAsia="zh-CN"/>
        </w:rPr>
      </w:pPr>
      <w:r>
        <w:drawing>
          <wp:inline distT="0" distB="0" distL="114300" distR="114300">
            <wp:extent cx="5274310" cy="3149600"/>
            <wp:effectExtent l="0" t="0" r="2540" b="12700"/>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19"/>
                    <a:stretch>
                      <a:fillRect/>
                    </a:stretch>
                  </pic:blipFill>
                  <pic:spPr>
                    <a:xfrm>
                      <a:off x="0" y="0"/>
                      <a:ext cx="5274310" cy="3149600"/>
                    </a:xfrm>
                    <a:prstGeom prst="rect">
                      <a:avLst/>
                    </a:prstGeom>
                    <a:noFill/>
                    <a:ln>
                      <a:noFill/>
                    </a:ln>
                  </pic:spPr>
                </pic:pic>
              </a:graphicData>
            </a:graphic>
          </wp:inline>
        </w:drawing>
      </w:r>
      <w:r>
        <w:drawing>
          <wp:inline distT="0" distB="0" distL="114300" distR="114300">
            <wp:extent cx="5274310" cy="3140075"/>
            <wp:effectExtent l="0" t="0" r="2540" b="3175"/>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20"/>
                    <a:stretch>
                      <a:fillRect/>
                    </a:stretch>
                  </pic:blipFill>
                  <pic:spPr>
                    <a:xfrm>
                      <a:off x="0" y="0"/>
                      <a:ext cx="5274310" cy="3140075"/>
                    </a:xfrm>
                    <a:prstGeom prst="rect">
                      <a:avLst/>
                    </a:prstGeom>
                    <a:noFill/>
                    <a:ln>
                      <a:noFill/>
                    </a:ln>
                  </pic:spPr>
                </pic:pic>
              </a:graphicData>
            </a:graphic>
          </wp:inline>
        </w:drawing>
      </w:r>
    </w:p>
    <w:p w14:paraId="5488365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kern w:val="0"/>
          <w:sz w:val="15"/>
          <w:szCs w:val="15"/>
          <w:shd w:val="clear" w:fill="FFFFFF"/>
          <w:lang w:val="en-US" w:eastAsia="zh-CN" w:bidi="ar"/>
        </w:rPr>
      </w:pPr>
    </w:p>
    <w:p w14:paraId="63C799E7">
      <w:pPr>
        <w:pStyle w:val="14"/>
        <w:numPr>
          <w:ilvl w:val="0"/>
          <w:numId w:val="1"/>
        </w:numPr>
        <w:spacing w:line="360" w:lineRule="auto"/>
        <w:ind w:firstLineChars="0"/>
        <w:rPr>
          <w:rFonts w:ascii="Times New Roman" w:hAnsi="Times New Roman" w:eastAsia="黑体"/>
          <w:sz w:val="28"/>
          <w:szCs w:val="28"/>
        </w:rPr>
      </w:pPr>
      <w:r>
        <w:rPr>
          <w:rFonts w:hint="eastAsia" w:ascii="Times New Roman" w:hAnsi="Times New Roman" w:eastAsia="黑体"/>
          <w:sz w:val="28"/>
          <w:szCs w:val="28"/>
        </w:rPr>
        <w:t>实验问题及心得</w:t>
      </w:r>
    </w:p>
    <w:p w14:paraId="106E24B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eastAsia="黑体"/>
          <w:sz w:val="21"/>
          <w:szCs w:val="21"/>
          <w:lang w:val="en-US" w:eastAsia="zh-CN"/>
        </w:rPr>
      </w:pPr>
      <w:r>
        <w:rPr>
          <w:rFonts w:hint="eastAsia" w:eastAsia="黑体"/>
          <w:sz w:val="21"/>
          <w:szCs w:val="21"/>
          <w:lang w:val="en-US" w:eastAsia="zh-CN"/>
        </w:rPr>
        <w:t>在本次实验过程中，我发现不同数据结构间的转换往往伴随着精度的损失或地形特征的改变。特别是在从Grid DEM生成等高线并反演回栅格DEM的过程中数据出现了显著失真，原本的低地区域甚至错误地反演成了高地，说明单纯依靠等高线插值难以完美还原原始栅格的高程信息；在利用等高线构建TIN时，若不添加约束条件，模型在等高线之间的过渡带会产生大面积数值相同的“平三角”现象，从而导致地形呈现不自然的阶梯状，这将会严重破坏了地表的连续性，而通过将类型设置为“硬边”并加以约束则能有效利用等高线正确生成出山脊和谷底的形态。</w:t>
      </w:r>
    </w:p>
    <w:p w14:paraId="6122416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default" w:eastAsia="黑体"/>
          <w:sz w:val="21"/>
          <w:szCs w:val="21"/>
          <w:lang w:val="en-US" w:eastAsia="zh-CN"/>
        </w:rPr>
      </w:pPr>
      <w:r>
        <w:rPr>
          <w:rFonts w:hint="eastAsia" w:eastAsia="黑体"/>
          <w:sz w:val="21"/>
          <w:szCs w:val="21"/>
          <w:lang w:val="en-US" w:eastAsia="zh-CN"/>
        </w:rPr>
        <w:t>通过实际操作，我深入理解了TIN（不规则三角网）与Grid（规则格网）在数据存储和地形表达上的本质区别。我认识到TIN模型具有极佳的数据压缩与适应性，它能在地形平坦区生成大三角形、在地形破碎区生成密集的小三角形，这种多分辨率的特性在兼顾精度的同时也减少了数据冗余。同时，实验也让我掌握了如何通过3D Analyst工具合理设置参数，以求在矢量与栅格数据的互操作中尽可能保留原始地形的细节特征。</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华文行楷">
    <w:panose1 w:val="02010800040101010101"/>
    <w:charset w:val="86"/>
    <w:family w:val="auto"/>
    <w:pitch w:val="default"/>
    <w:sig w:usb0="00000001" w:usb1="080F0000" w:usb2="00000000" w:usb3="00000000" w:csb0="00040000" w:csb1="00000000"/>
  </w:font>
  <w:font w:name="Britannic Bold">
    <w:panose1 w:val="020B0903060703020204"/>
    <w:charset w:val="00"/>
    <w:family w:val="swiss"/>
    <w:pitch w:val="default"/>
    <w:sig w:usb0="00000003" w:usb1="00000000" w:usb2="00000000" w:usb3="00000000" w:csb0="20000001" w:csb1="00000000"/>
  </w:font>
  <w:font w:name="华文琥珀">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955C9"/>
    <w:multiLevelType w:val="singleLevel"/>
    <w:tmpl w:val="A60955C9"/>
    <w:lvl w:ilvl="0" w:tentative="0">
      <w:start w:val="1"/>
      <w:numFmt w:val="decimal"/>
      <w:suff w:val="space"/>
      <w:lvlText w:val="%1."/>
      <w:lvlJc w:val="left"/>
    </w:lvl>
  </w:abstractNum>
  <w:abstractNum w:abstractNumId="1">
    <w:nsid w:val="A7054EAD"/>
    <w:multiLevelType w:val="singleLevel"/>
    <w:tmpl w:val="A7054EAD"/>
    <w:lvl w:ilvl="0" w:tentative="0">
      <w:start w:val="1"/>
      <w:numFmt w:val="decimalEnclosedCircleChinese"/>
      <w:suff w:val="space"/>
      <w:lvlText w:val="%1"/>
      <w:lvlJc w:val="left"/>
      <w:rPr>
        <w:rFonts w:hint="eastAsia"/>
      </w:rPr>
    </w:lvl>
  </w:abstractNum>
  <w:abstractNum w:abstractNumId="2">
    <w:nsid w:val="BAD90C59"/>
    <w:multiLevelType w:val="singleLevel"/>
    <w:tmpl w:val="BAD90C59"/>
    <w:lvl w:ilvl="0" w:tentative="0">
      <w:start w:val="1"/>
      <w:numFmt w:val="decimalEnclosedCircleChinese"/>
      <w:suff w:val="space"/>
      <w:lvlText w:val="%1"/>
      <w:lvlJc w:val="left"/>
      <w:pPr>
        <w:ind w:left="420"/>
      </w:pPr>
      <w:rPr>
        <w:rFonts w:hint="eastAsia"/>
      </w:rPr>
    </w:lvl>
  </w:abstractNum>
  <w:abstractNum w:abstractNumId="3">
    <w:nsid w:val="C4BC513D"/>
    <w:multiLevelType w:val="singleLevel"/>
    <w:tmpl w:val="C4BC513D"/>
    <w:lvl w:ilvl="0" w:tentative="0">
      <w:start w:val="1"/>
      <w:numFmt w:val="decimal"/>
      <w:suff w:val="space"/>
      <w:lvlText w:val="(%1)"/>
      <w:lvlJc w:val="left"/>
    </w:lvl>
  </w:abstractNum>
  <w:abstractNum w:abstractNumId="4">
    <w:nsid w:val="D39738B2"/>
    <w:multiLevelType w:val="singleLevel"/>
    <w:tmpl w:val="D39738B2"/>
    <w:lvl w:ilvl="0" w:tentative="0">
      <w:start w:val="1"/>
      <w:numFmt w:val="decimalEnclosedCircleChinese"/>
      <w:suff w:val="space"/>
      <w:lvlText w:val="%1"/>
      <w:lvlJc w:val="left"/>
      <w:rPr>
        <w:rFonts w:hint="eastAsia"/>
      </w:rPr>
    </w:lvl>
  </w:abstractNum>
  <w:abstractNum w:abstractNumId="5">
    <w:nsid w:val="E4A5F21E"/>
    <w:multiLevelType w:val="singleLevel"/>
    <w:tmpl w:val="E4A5F21E"/>
    <w:lvl w:ilvl="0" w:tentative="0">
      <w:start w:val="1"/>
      <w:numFmt w:val="decimal"/>
      <w:suff w:val="space"/>
      <w:lvlText w:val="%1."/>
      <w:lvlJc w:val="left"/>
    </w:lvl>
  </w:abstractNum>
  <w:abstractNum w:abstractNumId="6">
    <w:nsid w:val="EB1B5A43"/>
    <w:multiLevelType w:val="multilevel"/>
    <w:tmpl w:val="EB1B5A4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03741559"/>
    <w:multiLevelType w:val="multilevel"/>
    <w:tmpl w:val="0374155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AA8C429"/>
    <w:multiLevelType w:val="singleLevel"/>
    <w:tmpl w:val="0AA8C429"/>
    <w:lvl w:ilvl="0" w:tentative="0">
      <w:start w:val="1"/>
      <w:numFmt w:val="decimal"/>
      <w:suff w:val="space"/>
      <w:lvlText w:val="(%1)"/>
      <w:lvlJc w:val="left"/>
    </w:lvl>
  </w:abstractNum>
  <w:abstractNum w:abstractNumId="9">
    <w:nsid w:val="7D0569F8"/>
    <w:multiLevelType w:val="singleLevel"/>
    <w:tmpl w:val="7D0569F8"/>
    <w:lvl w:ilvl="0" w:tentative="0">
      <w:start w:val="1"/>
      <w:numFmt w:val="decimal"/>
      <w:suff w:val="space"/>
      <w:lvlText w:val="(%1)"/>
      <w:lvlJc w:val="left"/>
    </w:lvl>
  </w:abstractNum>
  <w:num w:numId="1">
    <w:abstractNumId w:val="7"/>
  </w:num>
  <w:num w:numId="2">
    <w:abstractNumId w:val="5"/>
  </w:num>
  <w:num w:numId="3">
    <w:abstractNumId w:val="2"/>
  </w:num>
  <w:num w:numId="4">
    <w:abstractNumId w:val="4"/>
  </w:num>
  <w:num w:numId="5">
    <w:abstractNumId w:val="0"/>
  </w:num>
  <w:num w:numId="6">
    <w:abstractNumId w:val="1"/>
  </w:num>
  <w:num w:numId="7">
    <w:abstractNumId w:val="9"/>
  </w:num>
  <w:num w:numId="8">
    <w:abstractNumId w:val="8"/>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74A"/>
    <w:rsid w:val="00042F91"/>
    <w:rsid w:val="004329C4"/>
    <w:rsid w:val="00633D44"/>
    <w:rsid w:val="00660D63"/>
    <w:rsid w:val="00674788"/>
    <w:rsid w:val="007546EB"/>
    <w:rsid w:val="007C0893"/>
    <w:rsid w:val="0081774E"/>
    <w:rsid w:val="0088474A"/>
    <w:rsid w:val="00926238"/>
    <w:rsid w:val="00AC53E8"/>
    <w:rsid w:val="00BB0DF6"/>
    <w:rsid w:val="00CE26C1"/>
    <w:rsid w:val="00EA6689"/>
    <w:rsid w:val="00EB6C54"/>
    <w:rsid w:val="00EE2392"/>
    <w:rsid w:val="00EE79EB"/>
    <w:rsid w:val="045447CF"/>
    <w:rsid w:val="04581455"/>
    <w:rsid w:val="04965641"/>
    <w:rsid w:val="0588329B"/>
    <w:rsid w:val="0BB53545"/>
    <w:rsid w:val="0C05627A"/>
    <w:rsid w:val="0E937307"/>
    <w:rsid w:val="0F7F00F1"/>
    <w:rsid w:val="117345B2"/>
    <w:rsid w:val="13367B77"/>
    <w:rsid w:val="14CF3E9E"/>
    <w:rsid w:val="17E31439"/>
    <w:rsid w:val="1847093C"/>
    <w:rsid w:val="1894002B"/>
    <w:rsid w:val="1BEF2AA3"/>
    <w:rsid w:val="1F3D3B25"/>
    <w:rsid w:val="22A96695"/>
    <w:rsid w:val="22DA584D"/>
    <w:rsid w:val="271433BD"/>
    <w:rsid w:val="27CB57B8"/>
    <w:rsid w:val="29064487"/>
    <w:rsid w:val="29585285"/>
    <w:rsid w:val="2BF51A0F"/>
    <w:rsid w:val="2C5C731D"/>
    <w:rsid w:val="322A1CE7"/>
    <w:rsid w:val="32DF11CB"/>
    <w:rsid w:val="3DFD29A6"/>
    <w:rsid w:val="41180474"/>
    <w:rsid w:val="41E43F89"/>
    <w:rsid w:val="44A047EB"/>
    <w:rsid w:val="44A771C7"/>
    <w:rsid w:val="450B3BFA"/>
    <w:rsid w:val="48AF2AEE"/>
    <w:rsid w:val="48DE483E"/>
    <w:rsid w:val="491646DC"/>
    <w:rsid w:val="4D852B5E"/>
    <w:rsid w:val="4EE72FE2"/>
    <w:rsid w:val="56BE75A8"/>
    <w:rsid w:val="5BAD55B3"/>
    <w:rsid w:val="5DC35407"/>
    <w:rsid w:val="5E036C15"/>
    <w:rsid w:val="5FA3624A"/>
    <w:rsid w:val="604F4E8B"/>
    <w:rsid w:val="60CC2038"/>
    <w:rsid w:val="614918DA"/>
    <w:rsid w:val="616D0005"/>
    <w:rsid w:val="64C51278"/>
    <w:rsid w:val="664B0BAB"/>
    <w:rsid w:val="668760F0"/>
    <w:rsid w:val="6BC05FE0"/>
    <w:rsid w:val="6F742218"/>
    <w:rsid w:val="6F7E4E45"/>
    <w:rsid w:val="718D41DB"/>
    <w:rsid w:val="76BE3220"/>
    <w:rsid w:val="779C2014"/>
    <w:rsid w:val="77E67A2B"/>
    <w:rsid w:val="794C278F"/>
    <w:rsid w:val="7D965A4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Date"/>
    <w:basedOn w:val="1"/>
    <w:next w:val="1"/>
    <w:link w:val="11"/>
    <w:unhideWhenUsed/>
    <w:qFormat/>
    <w:uiPriority w:val="99"/>
    <w:pPr>
      <w:ind w:left="100" w:leftChars="2500"/>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HTML Code"/>
    <w:basedOn w:val="9"/>
    <w:semiHidden/>
    <w:unhideWhenUsed/>
    <w:uiPriority w:val="99"/>
    <w:rPr>
      <w:rFonts w:ascii="Courier New" w:hAnsi="Courier New"/>
      <w:sz w:val="20"/>
    </w:rPr>
  </w:style>
  <w:style w:type="character" w:customStyle="1" w:styleId="11">
    <w:name w:val="日期 Char"/>
    <w:basedOn w:val="9"/>
    <w:link w:val="4"/>
    <w:semiHidden/>
    <w:qFormat/>
    <w:uiPriority w:val="99"/>
    <w:rPr>
      <w:rFonts w:ascii="Times New Roman" w:hAnsi="Times New Roman" w:eastAsia="宋体" w:cs="Times New Roman"/>
      <w:szCs w:val="24"/>
    </w:rPr>
  </w:style>
  <w:style w:type="character" w:customStyle="1" w:styleId="12">
    <w:name w:val="页脚 Char"/>
    <w:basedOn w:val="9"/>
    <w:link w:val="5"/>
    <w:semiHidden/>
    <w:qFormat/>
    <w:uiPriority w:val="99"/>
    <w:rPr>
      <w:rFonts w:ascii="Times New Roman" w:hAnsi="Times New Roman" w:eastAsia="宋体" w:cs="Times New Roman"/>
      <w:sz w:val="18"/>
      <w:szCs w:val="18"/>
    </w:rPr>
  </w:style>
  <w:style w:type="character" w:customStyle="1" w:styleId="13">
    <w:name w:val="页眉 Char"/>
    <w:basedOn w:val="9"/>
    <w:link w:val="6"/>
    <w:semiHidden/>
    <w:qFormat/>
    <w:uiPriority w:val="99"/>
    <w:rPr>
      <w:rFonts w:ascii="Times New Roman" w:hAnsi="Times New Roman" w:eastAsia="宋体" w:cs="Times New Roman"/>
      <w:sz w:val="18"/>
      <w:szCs w:val="18"/>
    </w:rPr>
  </w:style>
  <w:style w:type="paragraph" w:styleId="14">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2527</Words>
  <Characters>3194</Characters>
  <Lines>1</Lines>
  <Paragraphs>1</Paragraphs>
  <TotalTime>9</TotalTime>
  <ScaleCrop>false</ScaleCrop>
  <LinksUpToDate>false</LinksUpToDate>
  <CharactersWithSpaces>3248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2016-05-03T02:25:00Z</dcterms:created>
  <dc:creator>Xuan</dc:creator>
  <cp:lastModifiedBy>许愿</cp:lastModifiedBy>
  <dcterms:modified xsi:type="dcterms:W3CDTF">2026-02-14T16:37:55Z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8DB6D57F093B4B5CB8DEDA5486C746DC_13</vt:lpwstr>
  </property>
  <property fmtid="{D5CDD505-2E9C-101B-9397-08002B2CF9AE}" pid="4" name="KSOTemplateDocerSaveRecord">
    <vt:lpwstr>eyJoZGlkIjoiYTBmYjcwZTEwNGE2ZjUzN2UyYWZlNTlhNmRjNWUzYjUiLCJ1c2VySWQiOiI2MTM2Nzk2MDYifQ==</vt:lpwstr>
  </property>
</Properties>
</file>