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76486">
      <w:pPr>
        <w:jc w:val="center"/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8"/>
          <w:szCs w:val="48"/>
          <w:lang w:eastAsia="zh-CN"/>
        </w:rPr>
        <w:t>《</w:t>
      </w:r>
      <w:r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  <w:t>计量地理学》作业五</w:t>
      </w:r>
    </w:p>
    <w:p w14:paraId="3BF8B541">
      <w:pPr>
        <w:jc w:val="center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层次分析法 + 模糊综合评价</w:t>
      </w:r>
    </w:p>
    <w:p w14:paraId="3FE80CB8">
      <w:pPr>
        <w:jc w:val="center"/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学号：10909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0000000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专业：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2023级地理信息科学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姓名：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许愿</w:t>
      </w:r>
    </w:p>
    <w:p w14:paraId="0FE598E9">
      <w:pPr>
        <w:jc w:val="center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 </w:t>
      </w:r>
    </w:p>
    <w:p w14:paraId="6F5B9EEB">
      <w:pPr>
        <w:jc w:val="center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2025年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12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月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30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日</w:t>
      </w:r>
    </w:p>
    <w:p w14:paraId="5BEEFBD2">
      <w:pPr>
        <w:numPr>
          <w:ilvl w:val="0"/>
          <w:numId w:val="0"/>
        </w:numPr>
        <w:ind w:leftChars="0"/>
        <w:rPr>
          <w:rFonts w:hint="default" w:asciiTheme="minorEastAsia" w:hAnsiTheme="minorEastAsia" w:cstheme="minorEastAsia"/>
          <w:lang w:val="en-US" w:eastAsia="zh-CN"/>
        </w:rPr>
      </w:pPr>
    </w:p>
    <w:p w14:paraId="07EAD6E1">
      <w:pPr>
        <w:numPr>
          <w:ilvl w:val="0"/>
          <w:numId w:val="0"/>
        </w:numPr>
        <w:ind w:leftChars="0"/>
        <w:jc w:val="center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基于AHP-模糊综合评价的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福安市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乡村旅游资源开发潜力评价</w:t>
      </w:r>
    </w:p>
    <w:p w14:paraId="14B0589D">
      <w:pPr>
        <w:numPr>
          <w:ilvl w:val="0"/>
          <w:numId w:val="0"/>
        </w:numPr>
        <w:ind w:leftChars="0"/>
        <w:jc w:val="both"/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</w:pPr>
    </w:p>
    <w:p w14:paraId="5EDEB99B">
      <w:pPr>
        <w:numPr>
          <w:ilvl w:val="0"/>
          <w:numId w:val="1"/>
        </w:numPr>
        <w:ind w:leftChars="0"/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  <w:t>引言</w:t>
      </w:r>
    </w:p>
    <w:p w14:paraId="0C89D3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福安市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是宁德市下辖的县级市、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位于福建省东北部，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其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素有“中国茶叶之乡”、“南国葡萄之乡”的美誉，同时拥有独特的畲族文化和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作为4A级旅游景区的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白云山世界地质公园等优质资源。随着乡村振兴战略的推进，福安市乡村旅游发展迅速，但各乡镇资源禀赋与开发条件差异较大。为了科学认知福安市乡村旅游的发展现状与潜力，本次评价旨在利用层次分析法（AHP）构建评价指标体系并确定权重，结合模糊综合评价法处理定性指标，对福安市乡村旅游资源的开发潜力进行科学量化评估，以期为后续的旅游规划、基础设施建设与投资决策提供参考依据。</w:t>
      </w:r>
    </w:p>
    <w:p w14:paraId="2565CC26">
      <w:pPr>
        <w:numPr>
          <w:ilvl w:val="0"/>
          <w:numId w:val="1"/>
        </w:numPr>
        <w:ind w:leftChars="0"/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  <w:t>评价指标体系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构造</w:t>
      </w:r>
    </w:p>
    <w:p w14:paraId="135F59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遵循科学性、系统性和可操作性原则，结合福安市“山海交融、闽东特色”的乡村旅游特点，本研究构建了包含目标层、准则层（3个）和指标层（9个）的评价指标体系：</w:t>
      </w:r>
    </w:p>
    <w:p w14:paraId="626AFC1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目标层</w:t>
      </w:r>
      <m:oMath>
        <m:r>
          <m:rPr/>
          <w:rPr>
            <w:rFonts w:hint="default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 xml:space="preserve">A </m:t>
        </m:r>
      </m:oMath>
      <w:r>
        <w:rPr>
          <w:rFonts w:hint="default" w:hAnsi="Cambria Math" w:eastAsia="宋体" w:cs="宋体"/>
          <w:i w:val="0"/>
          <w:kern w:val="2"/>
          <w:sz w:val="24"/>
          <w:szCs w:val="24"/>
          <w:lang w:val="en-US" w:eastAsia="zh-CN" w:bidi="ar-SA"/>
        </w:rPr>
        <w:t>：福安市乡村旅游资源开发潜力</w:t>
      </w:r>
    </w:p>
    <w:p w14:paraId="6E03489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准则层</w:t>
      </w:r>
      <m:oMath>
        <m:r>
          <m:rPr/>
          <w:rPr>
            <w:rFonts w:hint="default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 xml:space="preserve">B </m:t>
        </m:r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103FA5D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资源价值（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下设具体指标分别为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>观赏价值、文化价值、珍稀程度）：衡量旅游资源的核心吸引力，包括自然景观与人文底蕴。</w:t>
      </w:r>
    </w:p>
    <w:p w14:paraId="386E8D7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2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宋体" w:hAnsi="宋体" w:eastAsia="宋体" w:cs="宋体"/>
          <w:sz w:val="24"/>
          <w:szCs w:val="24"/>
        </w:rPr>
        <w:t>环境条件（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下设具体指标分别为</w:t>
      </w:r>
      <w:r>
        <w:rPr>
          <w:rFonts w:ascii="宋体" w:hAnsi="宋体" w:eastAsia="宋体" w:cs="宋体"/>
          <w:sz w:val="24"/>
          <w:szCs w:val="24"/>
        </w:rPr>
        <w:t>空气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质量、植被覆盖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水体质量</w:t>
      </w:r>
      <w:r>
        <w:rPr>
          <w:rFonts w:ascii="宋体" w:hAnsi="宋体" w:eastAsia="宋体" w:cs="宋体"/>
          <w:sz w:val="24"/>
          <w:szCs w:val="24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：衡量旅游发展的生态本底，如空气、植被等。</w:t>
      </w:r>
    </w:p>
    <w:p w14:paraId="72D4D05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3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rFonts w:ascii="宋体" w:hAnsi="宋体" w:eastAsia="宋体" w:cs="宋体"/>
          <w:sz w:val="24"/>
          <w:szCs w:val="24"/>
        </w:rPr>
        <w:t>开发条件（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下设具体指标分别为交通通达、市场距离、基础设施</w:t>
      </w:r>
      <w:r>
        <w:rPr>
          <w:rFonts w:ascii="宋体" w:hAnsi="宋体" w:eastAsia="宋体" w:cs="宋体"/>
          <w:sz w:val="24"/>
          <w:szCs w:val="24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：衡量旅游发展的保障因素，如交通可达性与配套设施。</w:t>
      </w:r>
    </w:p>
    <w:p w14:paraId="07078B9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基于AHP的权重计算与设置依据</w:t>
      </w:r>
    </w:p>
    <w:p w14:paraId="1027F2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本次权重计算采用1-9标度法，通过模拟专家打分构造判断矩阵，并利用和积法进行求解。</w:t>
      </w:r>
    </w:p>
    <w:p w14:paraId="1662241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准则层权重计算</w:t>
      </w:r>
    </w:p>
    <w:p w14:paraId="63096C0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福安旅游的核心竞争力在于其不可复制的自然与人文资源（如廉村古建筑、畲族服饰、白云山冰臼），因此资源价值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B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权重最高。</w:t>
      </w:r>
    </w:p>
    <w:p w14:paraId="4F5906E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福安作为县级市，部分山区乡镇（如晓阳镇、范坑乡）交通通达度相对较弱，是制约发展的瓶颈，因此开发条件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B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lang w:val="en-US" w:eastAsia="zh-CN"/>
              </w:rPr>
              <m:t>3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的重要性高于环境条件。</w:t>
      </w:r>
    </w:p>
    <w:p w14:paraId="3347BC4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福建省整体生态环境优越，福安各乡镇环境差异相对较小，故环境条件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B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  <w:lang w:val="en-US" w:eastAsia="zh-CN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权重设为相对较低。</w:t>
      </w:r>
    </w:p>
    <w:p w14:paraId="692843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/>
          <w:sz w:val="24"/>
          <w:szCs w:val="24"/>
          <w:lang w:val="en-US" w:eastAsia="zh-CN"/>
        </w:rPr>
        <w:t>据此，构造判断矩阵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A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：</w:t>
      </w:r>
    </w:p>
    <w:p w14:paraId="47D705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Cambria Math"/>
          <w:i w:val="0"/>
          <w:sz w:val="24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A=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5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3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1/5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1/2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1/3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4"/>
                </w:rPr>
              </m:ctrlPr>
            </m:e>
          </m:d>
        </m:oMath>
      </m:oMathPara>
    </w:p>
    <w:p w14:paraId="0B612D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hAnsi="Cambria Math"/>
          <w:i w:val="0"/>
          <w:sz w:val="24"/>
          <w:lang w:val="en-US" w:eastAsia="zh-CN"/>
        </w:rPr>
      </w:pPr>
      <w:r>
        <w:rPr>
          <w:rFonts w:hint="eastAsia" w:hAnsi="Cambria Math"/>
          <w:i w:val="0"/>
          <w:sz w:val="24"/>
          <w:lang w:val="en-US" w:eastAsia="zh-CN"/>
        </w:rPr>
        <w:t>计算过程：</w:t>
      </w:r>
    </w:p>
    <w:p w14:paraId="2CDD268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Cambria Math"/>
          <w:i w:val="0"/>
          <w:sz w:val="24"/>
          <w:lang w:val="en-US" w:eastAsia="zh-CN"/>
        </w:rPr>
      </w:pPr>
      <w:r>
        <w:rPr>
          <w:rFonts w:hint="eastAsia" w:hAnsi="Cambria Math"/>
          <w:i w:val="0"/>
          <w:sz w:val="24"/>
          <w:lang w:val="en-US" w:eastAsia="zh-CN"/>
        </w:rPr>
        <w:t>列向量归一化：</w:t>
      </w:r>
    </w:p>
    <w:p w14:paraId="171C363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/>
          <w:i w:val="0"/>
          <w:sz w:val="24"/>
          <w:lang w:val="en-US" w:eastAsia="zh-CN"/>
        </w:rPr>
        <w:t>第一列和：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1+0.2+0.333=1.533</m:t>
        </m:r>
      </m:oMath>
    </w:p>
    <w:p w14:paraId="3907E16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第二列和：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5+1+2=8</m:t>
        </m:r>
      </m:oMath>
    </w:p>
    <w:p w14:paraId="1ABDA33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第三列和：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3+0.5+1=4.5</m:t>
        </m:r>
      </m:oMath>
    </w:p>
    <w:p w14:paraId="0A6AE72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归一化处理</w:t>
      </w:r>
    </w:p>
    <w:p w14:paraId="3F21E1EA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hanging="420" w:firstLineChars="0"/>
        <w:textAlignment w:val="auto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第一列：</w:t>
      </w:r>
      <m:oMath>
        <m:r>
          <m:rPr/>
          <w:rPr>
            <w:rFonts w:hint="default" w:ascii="Cambria Math" w:hAnsi="Cambria Math"/>
            <w:sz w:val="24"/>
          </w:rPr>
          <m:t>[0.652,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0.130,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0.217]</m:t>
        </m:r>
      </m:oMath>
    </w:p>
    <w:p w14:paraId="074860D7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hanging="420" w:firstLineChars="0"/>
        <w:textAlignment w:val="auto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第二列：</w:t>
      </w:r>
      <m:oMath>
        <m:r>
          <m:rPr/>
          <w:rPr>
            <w:rFonts w:hint="default" w:ascii="Cambria Math" w:hAnsi="Cambria Math"/>
            <w:sz w:val="24"/>
          </w:rPr>
          <m:t>[0.625,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0.125,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0.250]</m:t>
        </m:r>
      </m:oMath>
    </w:p>
    <w:p w14:paraId="52D2F4D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hanging="420" w:firstLineChars="0"/>
        <w:textAlignment w:val="auto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第三列：</w:t>
      </w:r>
      <m:oMath>
        <m:r>
          <m:rPr/>
          <w:rPr>
            <w:rFonts w:hint="default" w:ascii="Cambria Math" w:hAnsi="Cambria Math"/>
            <w:sz w:val="24"/>
          </w:rPr>
          <m:t>[0.667,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0.111,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0.222]</m:t>
        </m:r>
      </m:oMath>
    </w:p>
    <w:p w14:paraId="4FCBFEE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hAnsi="Cambria Math"/>
          <w:i w:val="0"/>
          <w:sz w:val="24"/>
          <w:lang w:val="en-US" w:eastAsia="zh-CN"/>
        </w:rPr>
      </w:pPr>
      <w:r>
        <w:rPr>
          <w:rFonts w:hint="eastAsia" w:hAnsi="Cambria Math"/>
          <w:i w:val="0"/>
          <w:sz w:val="24"/>
          <w:lang w:val="en-US" w:eastAsia="zh-CN"/>
        </w:rPr>
        <w:t xml:space="preserve">求行平均值得到权重向量 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W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：</w:t>
      </w:r>
    </w:p>
    <w:p w14:paraId="444B18C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=(0.652+0.625+0.667)/3=0.648</m:t>
        </m:r>
      </m:oMath>
    </w:p>
    <w:p w14:paraId="563607BF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=(0.130+0.125+0.111)/3=0.122</m:t>
        </m:r>
      </m:oMath>
    </w:p>
    <w:p w14:paraId="7BF3E6FC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3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=(0.217+0.250+0.222)/3=0.230</m:t>
        </m:r>
      </m:oMath>
    </w:p>
    <w:p w14:paraId="515C9FBD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m:oMath>
        <m:r>
          <m:rPr/>
          <w:rPr>
            <w:rFonts w:hint="default" w:ascii="Cambria Math" w:hAnsi="Cambria Math"/>
            <w:sz w:val="21"/>
          </w:rPr>
          <m:t>W=[0.648,0.122,0.230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]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sup>
        </m:sSup>
      </m:oMath>
    </w:p>
    <w:p w14:paraId="2B7FD7E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hAnsi="Cambria Math"/>
          <w:i w:val="0"/>
          <w:sz w:val="24"/>
          <w:lang w:val="en-US" w:eastAsia="zh-CN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一致性检验：</w:t>
      </w:r>
    </w:p>
    <w:p w14:paraId="47BF5B46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计算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AW</m:t>
        </m:r>
      </m:oMath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向量：</w:t>
      </w:r>
      <m:oMath>
        <m:m>
          <m:mPr>
            <m:mcs>
              <m:mc>
                <m:mcPr>
                  <m:count m:val="1"/>
                  <m:mcJc m:val="right"/>
                </m:mcPr>
              </m:mc>
            </m:mcs>
            <m:cGp m:val="60"/>
            <m:cGpRule m:val="3"/>
            <m:plcHide m:val="1"/>
            <m:ctrlPr>
              <w:rPr>
                <w:rFonts w:hint="default" w:ascii="Cambria Math" w:hAnsi="Cambria Math"/>
                <w:i/>
                <w:sz w:val="24"/>
              </w:rPr>
            </m:ctrlPr>
          </m:mPr>
          <m:mr>
            <m:e>
              <m:r>
                <m:rPr/>
                <w:rPr>
                  <w:rFonts w:hint="default" w:ascii="Cambria Math" w:hAnsi="Cambria Math"/>
                  <w:sz w:val="24"/>
                  <w:lang w:val="en-US" w:eastAsia="zh-CN"/>
                </w:rPr>
                <m:t>AW</m:t>
              </m:r>
              <m:r>
                <m:rPr/>
                <w:rPr>
                  <w:rFonts w:hint="default" w:ascii="Cambria Math" w:hAnsi="Cambria Math"/>
                  <w:sz w:val="24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hint="default" w:ascii="Cambria Math" w:hAnsi="Cambria Math"/>
                      <w:i/>
                      <w:sz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hint="default" w:ascii="Cambria Math" w:hAnsi="Cambria Math"/>
                          <w:i/>
                          <w:sz w:val="24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5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0.2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0.5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0.333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/>
                      <w:i/>
                      <w:sz w:val="24"/>
                    </w:rPr>
                  </m:ctrlPr>
                </m:e>
              </m:d>
              <m:r>
                <m:rPr>
                  <m:sty m:val="p"/>
                </m:rPr>
                <w:rPr>
                  <w:rFonts w:hint="default" w:ascii="Cambria Math" w:hAnsi="Cambria Math"/>
                  <w:sz w:val="24"/>
                </w:rPr>
                <m:t>×</m:t>
              </m:r>
              <m:d>
                <m:dPr>
                  <m:begChr m:val="["/>
                  <m:endChr m:val="]"/>
                  <m:ctrlPr>
                    <w:rPr>
                      <w:rFonts w:hint="default" w:ascii="Cambria Math" w:hAnsi="Cambria Math"/>
                      <w:i/>
                      <w:sz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hint="default" w:ascii="Cambria Math" w:hAnsi="Cambria Math"/>
                          <w:i/>
                          <w:sz w:val="24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0.648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0.122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0.230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/>
                      <w:i/>
                      <w:sz w:val="24"/>
                    </w:rPr>
                  </m:ctrlPr>
                </m:e>
              </m:d>
              <m:r>
                <m:rPr/>
                <w:rPr>
                  <w:rFonts w:hint="default" w:ascii="Cambria Math" w:hAnsi="Cambria Math"/>
                  <w:sz w:val="24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hint="default" w:ascii="Cambria Math" w:hAnsi="Cambria Math"/>
                      <w:i/>
                      <w:sz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hint="default" w:ascii="Cambria Math" w:hAnsi="Cambria Math"/>
                          <w:i/>
                          <w:sz w:val="24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1.948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0.367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0.690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/>
                      <w:i/>
                      <w:sz w:val="24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24"/>
                </w:rPr>
              </m:ctrlPr>
            </m:e>
          </m:mr>
        </m:m>
      </m:oMath>
    </w:p>
    <w:p w14:paraId="51260233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 w:hAnsi="Cambria Math"/>
          <w:i w:val="0"/>
          <w:sz w:val="24"/>
          <w:lang w:val="en-US" w:eastAsia="zh-CN"/>
        </w:rPr>
      </w:pPr>
      <w:r>
        <w:rPr>
          <w:rFonts w:hint="eastAsia" w:hAnsi="Cambria Math"/>
          <w:i w:val="0"/>
          <w:sz w:val="24"/>
          <w:lang w:val="en-US" w:eastAsia="zh-CN"/>
        </w:rPr>
        <w:t>计算最大特征根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λ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</w:rPr>
              <m:t>max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val="en-US" w:eastAsia="zh-CN"/>
        </w:rPr>
        <w:t>：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λ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</w:rPr>
              <m:t>max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4"/>
              </w:rPr>
            </m:ctrlPr>
          </m:fPr>
          <m:num>
            <m:r>
              <m:rPr/>
              <w:rPr>
                <w:rFonts w:hint="default"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sz w:val="24"/>
              </w:rPr>
            </m:ctrlPr>
          </m:num>
          <m:den>
            <m:r>
              <m:rPr/>
              <w:rPr>
                <w:rFonts w:hint="default" w:ascii="Cambria Math" w:hAnsi="Cambria Math"/>
                <w:sz w:val="24"/>
              </w:rPr>
              <m:t>3</m:t>
            </m:r>
            <m:ctrlPr>
              <w:rPr>
                <w:rFonts w:ascii="Cambria Math" w:hAnsi="Cambria Math"/>
                <w:sz w:val="24"/>
              </w:rPr>
            </m:ctrlPr>
          </m:den>
        </m:f>
        <m:nary>
          <m:naryPr>
            <m:chr m:val="∑"/>
            <m:limLoc m:val="undOvr"/>
            <m:ctrlPr>
              <w:rPr>
                <w:rFonts w:hint="default" w:ascii="Cambria Math" w:hAnsi="Cambria Math"/>
                <w:i/>
                <w:sz w:val="24"/>
              </w:rPr>
            </m:ctrlPr>
          </m:naryPr>
          <m:sub>
            <m:r>
              <m:rPr/>
              <w:rPr>
                <w:rFonts w:hint="default" w:ascii="Cambria Math" w:hAnsi="Cambria Math"/>
                <w:sz w:val="24"/>
              </w:rPr>
              <m:t>i=1</m:t>
            </m:r>
            <m:ctrlPr>
              <w:rPr>
                <w:rFonts w:ascii="Cambria Math" w:hAnsi="Cambria Math"/>
                <w:sz w:val="24"/>
              </w:rPr>
            </m:ctrlPr>
          </m:sub>
          <m:sup>
            <m:r>
              <m:rPr/>
              <w:rPr>
                <w:rFonts w:hint="default" w:ascii="Cambria Math" w:hAnsi="Cambria Math"/>
                <w:sz w:val="24"/>
              </w:rPr>
              <m:t>3</m:t>
            </m:r>
            <m:ctrlPr>
              <w:rPr>
                <w:rFonts w:ascii="Cambria Math" w:hAnsi="Cambria Math"/>
                <w:sz w:val="24"/>
              </w:rPr>
            </m:ctrlPr>
          </m:sup>
          <m:e>
            <m:f>
              <m:fPr>
                <m:ctrlPr>
                  <w:rPr>
                    <w:rFonts w:hint="default" w:ascii="Cambria Math" w:hAnsi="Cambria Math"/>
                    <w:i/>
                    <w:sz w:val="24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4"/>
                  </w:rPr>
                  <m:t>(AW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)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i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sz w:val="24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W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i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sz w:val="24"/>
                  </w:rPr>
                </m:ctrlPr>
              </m:den>
            </m:f>
            <m:ctrlPr>
              <w:rPr>
                <w:rFonts w:hint="default" w:ascii="Cambria Math" w:hAnsi="Cambria Math"/>
                <w:i/>
                <w:sz w:val="24"/>
              </w:rPr>
            </m:ctrlPr>
          </m:e>
        </m:nary>
        <m:r>
          <m:rPr/>
          <w:rPr>
            <w:rFonts w:hint="default" w:ascii="Cambria Math" w:hAnsi="Cambria Math"/>
            <w:sz w:val="24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4"/>
              </w:rPr>
            </m:ctrlPr>
          </m:fPr>
          <m:num>
            <m:r>
              <m:rPr/>
              <w:rPr>
                <w:rFonts w:hint="default" w:ascii="Cambria Math" w:hAnsi="Cambria Math"/>
                <w:sz w:val="24"/>
              </w:rPr>
              <m:t>1</m:t>
            </m:r>
            <m:ctrlPr>
              <w:rPr>
                <w:rFonts w:hint="default"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hint="default" w:ascii="Cambria Math" w:hAnsi="Cambria Math"/>
                <w:sz w:val="24"/>
              </w:rPr>
              <m:t>3</m:t>
            </m:r>
            <m:ctrlPr>
              <w:rPr>
                <w:rFonts w:hint="default" w:ascii="Cambria Math" w:hAnsi="Cambria Math"/>
                <w:i/>
                <w:sz w:val="24"/>
              </w:rPr>
            </m:ctrlPr>
          </m:den>
        </m:f>
        <m:r>
          <m:rPr/>
          <w:rPr>
            <w:rFonts w:hint="default" w:ascii="Cambria Math" w:hAnsi="Cambria Math"/>
            <w:sz w:val="24"/>
          </w:rPr>
          <m:t>(</m:t>
        </m:r>
        <m:f>
          <m:fPr>
            <m:ctrlPr>
              <w:rPr>
                <w:rFonts w:hint="default" w:ascii="Cambria Math" w:hAnsi="Cambria Math"/>
                <w:i/>
                <w:sz w:val="24"/>
              </w:rPr>
            </m:ctrlPr>
          </m:fPr>
          <m:num>
            <m:r>
              <m:rPr/>
              <w:rPr>
                <w:rFonts w:hint="default" w:ascii="Cambria Math" w:hAnsi="Cambria Math"/>
                <w:sz w:val="24"/>
              </w:rPr>
              <m:t>1.948</m:t>
            </m:r>
            <m:ctrlPr>
              <w:rPr>
                <w:rFonts w:hint="default"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hint="default" w:ascii="Cambria Math" w:hAnsi="Cambria Math"/>
                <w:sz w:val="24"/>
              </w:rPr>
              <m:t>0.648</m:t>
            </m:r>
            <m:ctrlPr>
              <w:rPr>
                <w:rFonts w:hint="default" w:ascii="Cambria Math" w:hAnsi="Cambria Math"/>
                <w:i/>
                <w:sz w:val="24"/>
              </w:rPr>
            </m:ctrlPr>
          </m:den>
        </m:f>
        <m:r>
          <m:rPr/>
          <w:rPr>
            <w:rFonts w:hint="default" w:ascii="Cambria Math" w:hAnsi="Cambria Math"/>
            <w:sz w:val="24"/>
          </w:rPr>
          <m:t>+</m:t>
        </m:r>
        <m:f>
          <m:fPr>
            <m:ctrlPr>
              <w:rPr>
                <w:rFonts w:hint="default" w:ascii="Cambria Math" w:hAnsi="Cambria Math"/>
                <w:i/>
                <w:sz w:val="24"/>
              </w:rPr>
            </m:ctrlPr>
          </m:fPr>
          <m:num>
            <m:r>
              <m:rPr/>
              <w:rPr>
                <w:rFonts w:hint="default" w:ascii="Cambria Math" w:hAnsi="Cambria Math"/>
                <w:sz w:val="24"/>
              </w:rPr>
              <m:t>0.367</m:t>
            </m:r>
            <m:ctrlPr>
              <w:rPr>
                <w:rFonts w:hint="default"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hint="default" w:ascii="Cambria Math" w:hAnsi="Cambria Math"/>
                <w:sz w:val="24"/>
              </w:rPr>
              <m:t>0.122</m:t>
            </m:r>
            <m:ctrlPr>
              <w:rPr>
                <w:rFonts w:hint="default" w:ascii="Cambria Math" w:hAnsi="Cambria Math"/>
                <w:i/>
                <w:sz w:val="24"/>
              </w:rPr>
            </m:ctrlPr>
          </m:den>
        </m:f>
        <m:r>
          <m:rPr/>
          <w:rPr>
            <w:rFonts w:hint="default" w:ascii="Cambria Math" w:hAnsi="Cambria Math"/>
            <w:sz w:val="24"/>
          </w:rPr>
          <m:t>+</m:t>
        </m:r>
        <m:f>
          <m:fPr>
            <m:ctrlPr>
              <w:rPr>
                <w:rFonts w:hint="default" w:ascii="Cambria Math" w:hAnsi="Cambria Math"/>
                <w:i/>
                <w:sz w:val="24"/>
              </w:rPr>
            </m:ctrlPr>
          </m:fPr>
          <m:num>
            <m:r>
              <m:rPr/>
              <w:rPr>
                <w:rFonts w:hint="default" w:ascii="Cambria Math" w:hAnsi="Cambria Math"/>
                <w:sz w:val="24"/>
              </w:rPr>
              <m:t>0.690</m:t>
            </m:r>
            <m:ctrlPr>
              <w:rPr>
                <w:rFonts w:hint="default"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hint="default" w:ascii="Cambria Math" w:hAnsi="Cambria Math"/>
                <w:sz w:val="24"/>
              </w:rPr>
              <m:t>0.230</m:t>
            </m:r>
            <m:ctrlPr>
              <w:rPr>
                <w:rFonts w:hint="default" w:ascii="Cambria Math" w:hAnsi="Cambria Math"/>
                <w:i/>
                <w:sz w:val="24"/>
              </w:rPr>
            </m:ctrlPr>
          </m:den>
        </m:f>
        <m:r>
          <m:rPr/>
          <w:rPr>
            <w:rFonts w:hint="default" w:ascii="Cambria Math" w:hAnsi="Cambria Math"/>
            <w:sz w:val="24"/>
          </w:rPr>
          <m:t>)≈3.003</m:t>
        </m:r>
      </m:oMath>
    </w:p>
    <w:p w14:paraId="0021CF7A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 w:hAnsi="Cambria Math"/>
          <w:i w:val="0"/>
          <w:sz w:val="24"/>
          <w:lang w:val="en-US" w:eastAsia="zh-CN"/>
        </w:rPr>
      </w:pPr>
      <w:r>
        <w:rPr>
          <w:rFonts w:hint="eastAsia" w:hAnsi="Cambria Math"/>
          <w:i w:val="0"/>
          <w:sz w:val="24"/>
          <w:lang w:val="en-US" w:eastAsia="zh-CN"/>
        </w:rPr>
        <w:t>计算一致性指标</w:t>
      </w:r>
      <m:oMath>
        <m:r>
          <m:rPr/>
          <w:rPr>
            <w:rFonts w:hint="default" w:ascii="Cambria Math" w:hAnsi="Cambria Math"/>
            <w:sz w:val="24"/>
          </w:rPr>
          <m:t>CI</m:t>
        </m:r>
      </m:oMath>
      <w:r>
        <w:rPr>
          <w:rFonts w:hint="eastAsia" w:hAnsi="Cambria Math"/>
          <w:i w:val="0"/>
          <w:sz w:val="24"/>
          <w:lang w:val="en-US" w:eastAsia="zh-CN"/>
        </w:rPr>
        <w:t>：</w:t>
      </w:r>
      <m:oMath>
        <m:r>
          <m:rPr/>
          <w:rPr>
            <w:rFonts w:hint="default" w:ascii="Cambria Math" w:hAnsi="Cambria Math"/>
            <w:sz w:val="24"/>
          </w:rPr>
          <m:t>CI=</m:t>
        </m:r>
        <m:f>
          <m:fPr>
            <m:ctrlPr>
              <w:rPr>
                <w:rFonts w:hint="default"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</w:rPr>
                  <m:t>λ</m:t>
                </m:r>
                <m:ctrlPr>
                  <w:rPr>
                    <w:rFonts w:ascii="Cambria Math" w:hAnsi="Cambria Math"/>
                    <w:sz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  <w:sz w:val="24"/>
                  </w:rPr>
                  <m:t>max</m:t>
                </m:r>
                <m:ctrlPr>
                  <w:rPr>
                    <w:rFonts w:ascii="Cambria Math" w:hAnsi="Cambria Math"/>
                    <w:sz w:val="24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4"/>
              </w:rPr>
              <m:t>−n</m:t>
            </m:r>
            <m:ctrlPr>
              <w:rPr>
                <w:rFonts w:hint="default" w:ascii="Cambria Math" w:hAnsi="Cambria Math"/>
                <w:sz w:val="24"/>
              </w:rPr>
            </m:ctrlPr>
          </m:num>
          <m:den>
            <m:r>
              <m:rPr/>
              <w:rPr>
                <w:rFonts w:hint="default" w:ascii="Cambria Math" w:hAnsi="Cambria Math"/>
                <w:sz w:val="24"/>
              </w:rPr>
              <m:t>n−1</m:t>
            </m:r>
            <m:ctrlPr>
              <w:rPr>
                <w:rFonts w:hint="default" w:ascii="Cambria Math" w:hAnsi="Cambria Math"/>
                <w:sz w:val="24"/>
              </w:rPr>
            </m:ctrlPr>
          </m:den>
        </m:f>
        <m:r>
          <m:rPr/>
          <w:rPr>
            <w:rFonts w:hint="default" w:ascii="Cambria Math" w:hAnsi="Cambria Math"/>
            <w:sz w:val="24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4"/>
              </w:rPr>
            </m:ctrlPr>
          </m:fPr>
          <m:num>
            <m:r>
              <m:rPr/>
              <w:rPr>
                <w:rFonts w:hint="default" w:ascii="Cambria Math" w:hAnsi="Cambria Math"/>
                <w:sz w:val="24"/>
              </w:rPr>
              <m:t>3.003−3</m:t>
            </m:r>
            <m:ctrlPr>
              <w:rPr>
                <w:rFonts w:hint="default" w:ascii="Cambria Math" w:hAnsi="Cambria Math"/>
                <w:sz w:val="24"/>
              </w:rPr>
            </m:ctrlPr>
          </m:num>
          <m:den>
            <m:r>
              <m:rPr/>
              <w:rPr>
                <w:rFonts w:hint="default" w:ascii="Cambria Math" w:hAnsi="Cambria Math"/>
                <w:sz w:val="24"/>
              </w:rPr>
              <m:t>3−1</m:t>
            </m:r>
            <m:ctrlPr>
              <w:rPr>
                <w:rFonts w:hint="default" w:ascii="Cambria Math" w:hAnsi="Cambria Math"/>
                <w:sz w:val="24"/>
              </w:rPr>
            </m:ctrlPr>
          </m:den>
        </m:f>
        <m:r>
          <m:rPr/>
          <w:rPr>
            <w:rFonts w:hint="default" w:ascii="Cambria Math" w:hAnsi="Cambria Math"/>
            <w:sz w:val="24"/>
          </w:rPr>
          <m:t>=0.0015</m:t>
        </m:r>
      </m:oMath>
    </w:p>
    <w:p w14:paraId="271CD65B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 w:hAnsi="Cambria Math"/>
          <w:i w:val="0"/>
          <w:sz w:val="24"/>
          <w:lang w:val="en-US" w:eastAsia="zh-CN"/>
        </w:rPr>
      </w:pPr>
      <w:r>
        <w:rPr>
          <w:rFonts w:hint="eastAsia" w:hAnsi="Cambria Math"/>
          <w:i w:val="0"/>
          <w:sz w:val="24"/>
          <w:lang w:val="en-US" w:eastAsia="zh-CN"/>
        </w:rPr>
        <w:t>查表得</w:t>
      </w:r>
      <m:oMath>
        <m:r>
          <m:rPr>
            <m:sty m:val="p"/>
          </m:rPr>
          <w:rPr>
            <w:rFonts w:hint="default" w:ascii="Cambria Math" w:hAnsi="Cambria Math"/>
            <w:sz w:val="24"/>
            <w:lang w:val="en-US" w:eastAsia="zh-CN"/>
          </w:rPr>
          <m:t>RI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=0.58</m:t>
        </m:r>
      </m:oMath>
      <w:r>
        <w:rPr>
          <w:rFonts w:hint="eastAsia" w:hAnsi="Cambria Math"/>
          <w:i w:val="0"/>
          <w:sz w:val="24"/>
          <w:lang w:val="en-US" w:eastAsia="zh-CN"/>
        </w:rPr>
        <w:t>，计算一致性比率</w:t>
      </w:r>
      <m:oMath>
        <m:r>
          <m:rPr/>
          <w:rPr>
            <w:rFonts w:hint="default" w:ascii="Cambria Math" w:hAnsi="Cambria Math"/>
            <w:sz w:val="24"/>
          </w:rPr>
          <m:t>CR</m:t>
        </m:r>
      </m:oMath>
      <w:r>
        <w:rPr>
          <w:rFonts w:hint="eastAsia" w:hAnsi="Cambria Math"/>
          <w:i w:val="0"/>
          <w:sz w:val="24"/>
          <w:lang w:val="en-US" w:eastAsia="zh-CN"/>
        </w:rPr>
        <w:t>：</w:t>
      </w:r>
      <m:oMath>
        <m:r>
          <m:rPr/>
          <w:rPr>
            <w:rFonts w:hint="default" w:ascii="Cambria Math" w:hAnsi="Cambria Math"/>
            <w:sz w:val="24"/>
          </w:rPr>
          <m:t>CR=</m:t>
        </m:r>
        <m:f>
          <m:fPr>
            <m:ctrlPr>
              <w:rPr>
                <w:rFonts w:hint="default" w:ascii="Cambria Math" w:hAnsi="Cambria Math"/>
                <w:i/>
                <w:sz w:val="24"/>
              </w:rPr>
            </m:ctrlPr>
          </m:fPr>
          <m:num>
            <m:r>
              <m:rPr/>
              <w:rPr>
                <w:rFonts w:hint="default" w:ascii="Cambria Math" w:hAnsi="Cambria Math"/>
                <w:sz w:val="24"/>
              </w:rPr>
              <m:t>CI</m:t>
            </m:r>
            <m:ctrlPr>
              <w:rPr>
                <w:rFonts w:ascii="Cambria Math" w:hAnsi="Cambria Math"/>
                <w:sz w:val="24"/>
              </w:rPr>
            </m:ctrlPr>
          </m:num>
          <m:den>
            <m:r>
              <m:rPr/>
              <w:rPr>
                <w:rFonts w:hint="default" w:ascii="Cambria Math" w:hAnsi="Cambria Math"/>
                <w:sz w:val="24"/>
              </w:rPr>
              <m:t>RI</m:t>
            </m:r>
            <m:ctrlPr>
              <w:rPr>
                <w:rFonts w:ascii="Cambria Math" w:hAnsi="Cambria Math"/>
                <w:sz w:val="24"/>
              </w:rPr>
            </m:ctrlPr>
          </m:den>
        </m:f>
        <m:r>
          <m:rPr/>
          <w:rPr>
            <w:rFonts w:hint="default" w:ascii="Cambria Math" w:hAnsi="Cambria Math"/>
            <w:sz w:val="24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4"/>
              </w:rPr>
            </m:ctrlPr>
          </m:fPr>
          <m:num>
            <m:r>
              <m:rPr/>
              <w:rPr>
                <w:rFonts w:hint="default" w:ascii="Cambria Math" w:hAnsi="Cambria Math"/>
                <w:sz w:val="24"/>
              </w:rPr>
              <m:t>0.0015</m:t>
            </m:r>
            <m:ctrlPr>
              <w:rPr>
                <w:rFonts w:ascii="Cambria Math" w:hAnsi="Cambria Math"/>
                <w:sz w:val="24"/>
              </w:rPr>
            </m:ctrlPr>
          </m:num>
          <m:den>
            <m:r>
              <m:rPr/>
              <w:rPr>
                <w:rFonts w:hint="default" w:ascii="Cambria Math" w:hAnsi="Cambria Math"/>
                <w:sz w:val="24"/>
              </w:rPr>
              <m:t>0.58</m:t>
            </m:r>
            <m:ctrlPr>
              <w:rPr>
                <w:rFonts w:ascii="Cambria Math" w:hAnsi="Cambria Math"/>
                <w:sz w:val="24"/>
              </w:rPr>
            </m:ctrlPr>
          </m:den>
        </m:f>
        <m:r>
          <m:rPr/>
          <w:rPr>
            <w:rFonts w:hint="default" w:ascii="Cambria Math" w:hAnsi="Cambria Math"/>
            <w:sz w:val="24"/>
          </w:rPr>
          <m:t>=0.002</m:t>
        </m:r>
      </m:oMath>
    </w:p>
    <w:p w14:paraId="7F38B81B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 w:hAnsi="Cambria Math"/>
          <w:i w:val="0"/>
          <w:sz w:val="24"/>
          <w:lang w:val="en-US" w:eastAsia="zh-CN"/>
        </w:rPr>
      </w:pPr>
      <w:r>
        <w:rPr>
          <w:rFonts w:hint="eastAsia" w:hAnsi="Cambria Math"/>
          <w:i w:val="0"/>
          <w:sz w:val="24"/>
          <w:lang w:val="en-US" w:eastAsia="zh-CN"/>
        </w:rPr>
        <w:t>结论：</w:t>
      </w:r>
      <m:oMath>
        <m:r>
          <m:rPr/>
          <w:rPr>
            <w:rFonts w:hint="default" w:ascii="Cambria Math" w:hAnsi="Cambria Math"/>
            <w:sz w:val="24"/>
          </w:rPr>
          <m:t>CR=0.002&lt;0.1</m:t>
        </m:r>
      </m:oMath>
      <w:r>
        <w:rPr>
          <w:rFonts w:hint="eastAsia" w:hAnsi="Cambria Math"/>
          <w:i w:val="0"/>
          <w:sz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判断矩阵具有满意的一致性，权重有效</w:t>
      </w:r>
      <w:r>
        <w:rPr>
          <w:rFonts w:hint="eastAsia" w:hAnsi="Cambria Math"/>
          <w:i w:val="0"/>
          <w:sz w:val="24"/>
          <w:lang w:val="en-US" w:eastAsia="zh-CN"/>
        </w:rPr>
        <w:t>。</w:t>
      </w:r>
    </w:p>
    <w:p w14:paraId="1862A05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hAnsi="Cambria Math"/>
          <w:i w:val="0"/>
          <w:sz w:val="24"/>
          <w:lang w:val="en-US" w:eastAsia="zh-CN"/>
        </w:rPr>
      </w:pPr>
      <w:r>
        <w:rPr>
          <w:rFonts w:hint="eastAsia" w:hAnsi="Cambria Math"/>
          <w:i w:val="0"/>
          <w:sz w:val="24"/>
          <w:lang w:val="en-US" w:eastAsia="zh-CN"/>
        </w:rPr>
        <w:t>指标层权重计算</w:t>
      </w:r>
    </w:p>
    <w:p w14:paraId="2A12FF3D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hAnsi="Cambria Math"/>
          <w:i w:val="0"/>
          <w:sz w:val="24"/>
          <w:lang w:val="en-US" w:eastAsia="zh-CN"/>
        </w:rPr>
      </w:pPr>
      <w:r>
        <w:rPr>
          <w:rFonts w:hint="eastAsia" w:hAnsi="Cambria Math"/>
          <w:i w:val="0"/>
          <w:sz w:val="24"/>
          <w:lang w:val="en-US" w:eastAsia="zh-CN"/>
        </w:rPr>
        <w:t>资源价值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B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val="en-US" w:eastAsia="zh-CN"/>
        </w:rPr>
        <w:t>内部权重：福安的“观赏游憩价值”（如白云山）和“历史文化”（如坦洋村茶文化、廉村理学文化）是两大支柱，比单纯的“珍稀度”更具普适吸引力。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W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=[0.540,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0.297,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0.163]</m:t>
        </m:r>
      </m:oMath>
      <w:r>
        <w:rPr>
          <w:rFonts w:hint="eastAsia" w:hAnsi="Cambria Math"/>
          <w:i w:val="0"/>
          <w:sz w:val="24"/>
          <w:lang w:val="en-US" w:eastAsia="zh-CN"/>
        </w:rPr>
        <w:t>，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11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val="en-US" w:eastAsia="zh-CN"/>
        </w:rPr>
        <w:t xml:space="preserve">观赏价值 &gt;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12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val="en-US" w:eastAsia="zh-CN"/>
        </w:rPr>
        <w:t xml:space="preserve">文化价值 &gt;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13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val="en-US" w:eastAsia="zh-CN"/>
        </w:rPr>
        <w:t>珍稀程度。</w:t>
      </w:r>
    </w:p>
    <w:p w14:paraId="0BBE8DA7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 w:hAnsi="Cambria Math"/>
          <w:i w:val="0"/>
          <w:sz w:val="24"/>
          <w:lang w:val="en-US" w:eastAsia="zh-CN"/>
        </w:rPr>
      </w:pPr>
      <w:r>
        <w:rPr>
          <w:rFonts w:hint="eastAsia" w:hAnsi="Cambria Math"/>
          <w:i w:val="0"/>
          <w:sz w:val="24"/>
          <w:lang w:val="en-US" w:eastAsia="zh-CN"/>
        </w:rPr>
        <w:t>环境条件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B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  <w:lang w:val="en-US" w:eastAsia="zh-CN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val="en-US" w:eastAsia="zh-CN"/>
        </w:rPr>
        <w:t>内部权重：福安森林覆盖率高，植被是基础，故植被覆盖率权重略高。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W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=[0.300,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0.400,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0.300]</m:t>
        </m:r>
      </m:oMath>
      <w:r>
        <w:rPr>
          <w:rFonts w:hint="eastAsia" w:hAnsi="Cambria Math"/>
          <w:i w:val="0"/>
          <w:sz w:val="24"/>
          <w:lang w:eastAsia="zh-CN"/>
        </w:rPr>
        <w:t>，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lang w:val="en-US" w:eastAsia="zh-CN"/>
              </w:rPr>
              <m:t>22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val="en-US" w:eastAsia="zh-CN"/>
        </w:rPr>
        <w:t xml:space="preserve">植被覆盖 &gt;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lang w:val="en-US" w:eastAsia="zh-CN"/>
              </w:rPr>
              <m:t>21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val="en-US" w:eastAsia="zh-CN"/>
        </w:rPr>
        <w:t xml:space="preserve">空气质量 =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lang w:val="en-US" w:eastAsia="zh-CN"/>
              </w:rPr>
              <m:t>23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val="en-US" w:eastAsia="zh-CN"/>
        </w:rPr>
        <w:t>水体质量，三者分布较均匀。</w:t>
      </w:r>
    </w:p>
    <w:p w14:paraId="2BC0F453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 w:hAnsi="Cambria Math"/>
          <w:i w:val="0"/>
          <w:sz w:val="24"/>
          <w:lang w:val="en-US" w:eastAsia="zh-CN"/>
        </w:rPr>
      </w:pPr>
      <w:r>
        <w:rPr>
          <w:rFonts w:hint="eastAsia" w:hAnsi="Cambria Math"/>
          <w:i w:val="0"/>
          <w:sz w:val="24"/>
          <w:lang w:val="en-US" w:eastAsia="zh-CN"/>
        </w:rPr>
        <w:t>开发条件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B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lang w:val="en-US" w:eastAsia="zh-CN"/>
              </w:rPr>
              <m:t>3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val="en-US" w:eastAsia="zh-CN"/>
        </w:rPr>
        <w:t>内部权重：对于福安的乡村旅游，交通通达度（是否通高速、县道等级）是游客进入的关键门槛，最为重要。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W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3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=[0.600,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0.200,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0.200]</m:t>
        </m:r>
      </m:oMath>
      <w:r>
        <w:rPr>
          <w:rFonts w:hint="eastAsia" w:hAnsi="Cambria Math"/>
          <w:i w:val="0"/>
          <w:sz w:val="24"/>
          <w:lang w:eastAsia="zh-CN"/>
        </w:rPr>
        <w:t>，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lang w:val="en-US" w:eastAsia="zh-CN"/>
              </w:rPr>
              <m:t>31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val="en-US" w:eastAsia="zh-CN"/>
        </w:rPr>
        <w:t xml:space="preserve">交通通达 &gt;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  <w:lang w:val="en-US" w:eastAsia="zh-CN"/>
              </w:rPr>
              <m:t>32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val="en-US" w:eastAsia="zh-CN"/>
        </w:rPr>
        <w:t xml:space="preserve">市场距离 =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lang w:val="en-US" w:eastAsia="zh-CN"/>
              </w:rPr>
              <m:t>33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val="en-US" w:eastAsia="zh-CN"/>
        </w:rPr>
        <w:t>基础设施，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lang w:val="en-US" w:eastAsia="zh-CN"/>
              </w:rPr>
              <m:t>3</m:t>
            </m:r>
            <m:r>
              <m:rPr/>
              <w:rPr>
                <w:rFonts w:hint="default"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val="en-US" w:eastAsia="zh-CN"/>
        </w:rPr>
        <w:t>交通通达程度占绝对主导。</w:t>
      </w:r>
    </w:p>
    <w:p w14:paraId="4691DB1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hAnsi="Cambria Math"/>
          <w:i w:val="0"/>
          <w:sz w:val="24"/>
          <w:lang w:val="en-US" w:eastAsia="zh-CN"/>
        </w:rPr>
      </w:pPr>
      <w:r>
        <w:rPr>
          <w:rFonts w:hint="eastAsia" w:hAnsi="Cambria Math"/>
          <w:i w:val="0"/>
          <w:sz w:val="24"/>
          <w:lang w:val="en-US" w:eastAsia="zh-CN"/>
        </w:rPr>
        <w:t>模糊综合评价</w:t>
      </w:r>
    </w:p>
    <w:p w14:paraId="265E5816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hAnsi="Cambria Math"/>
          <w:i w:val="0"/>
          <w:sz w:val="24"/>
          <w:lang w:val="en-US" w:eastAsia="zh-CN"/>
        </w:rPr>
      </w:pPr>
      <w:r>
        <w:rPr>
          <w:rFonts w:hint="default" w:hAnsi="Cambria Math"/>
          <w:i w:val="0"/>
          <w:sz w:val="24"/>
          <w:lang w:val="en-US" w:eastAsia="zh-CN"/>
        </w:rPr>
        <w:t>构建评价集与模糊矩阵</w:t>
      </w:r>
    </w:p>
    <w:p w14:paraId="57153BF9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hAnsi="Cambria Math"/>
          <w:i w:val="0"/>
          <w:sz w:val="24"/>
          <w:lang w:val="en-US" w:eastAsia="zh-CN"/>
        </w:rPr>
      </w:pPr>
      <w:r>
        <w:rPr>
          <w:rFonts w:hint="eastAsia" w:hAnsi="Cambria Math"/>
          <w:i w:val="0"/>
          <w:sz w:val="24"/>
          <w:lang w:val="en-US" w:eastAsia="zh-CN"/>
        </w:rPr>
        <w:t>评价集：设定</w:t>
      </w:r>
      <m:oMath>
        <m:r>
          <m:rPr/>
          <w:rPr>
            <w:rFonts w:hint="default" w:ascii="Cambria Math" w:hAnsi="Cambria Math"/>
            <w:sz w:val="24"/>
          </w:rPr>
          <m:t>V={</m:t>
        </m:r>
        <m:r>
          <m:rPr>
            <m:sty m:val="p"/>
          </m:rPr>
          <w:rPr>
            <w:rFonts w:hint="default" w:ascii="Cambria Math" w:hAnsi="Cambria Math"/>
            <w:sz w:val="24"/>
          </w:rPr>
          <m:t>优</m:t>
        </m:r>
        <m:r>
          <m:rPr/>
          <w:rPr>
            <w:rFonts w:hint="default" w:ascii="Cambria Math" w:hAnsi="Cambria Math"/>
            <w:sz w:val="24"/>
          </w:rPr>
          <m:t>(100)</m:t>
        </m:r>
        <m:r>
          <m:rPr>
            <m:sty m:val="p"/>
          </m:rPr>
          <w:rPr>
            <w:rFonts w:hint="default" w:ascii="Cambria Math" w:hAnsi="Cambria Math"/>
            <w:sz w:val="24"/>
            <w:lang w:val="en-US" w:eastAsia="zh-CN"/>
          </w:rPr>
          <m:t xml:space="preserve">, </m:t>
        </m:r>
        <m:r>
          <m:rPr>
            <m:sty m:val="p"/>
          </m:rPr>
          <w:rPr>
            <w:rFonts w:hint="eastAsia" w:ascii="Cambria Math" w:hAnsi="Cambria Math"/>
            <w:sz w:val="24"/>
            <w:lang w:val="en-US" w:eastAsia="zh-CN"/>
          </w:rPr>
          <m:t>良</m:t>
        </m:r>
        <m:r>
          <m:rPr>
            <m:sty m:val="p"/>
          </m:rPr>
          <w:rPr>
            <w:rFonts w:hint="default" w:ascii="Cambria Math" w:hAnsi="Cambria Math"/>
            <w:sz w:val="24"/>
            <w:lang w:val="en-US" w:eastAsia="zh-CN"/>
          </w:rPr>
          <m:t xml:space="preserve">(80), </m:t>
        </m:r>
        <m:r>
          <m:rPr>
            <m:sty m:val="p"/>
          </m:rPr>
          <w:rPr>
            <w:rFonts w:hint="eastAsia" w:ascii="Cambria Math" w:hAnsi="Cambria Math"/>
            <w:sz w:val="24"/>
            <w:lang w:val="en-US" w:eastAsia="zh-CN"/>
          </w:rPr>
          <m:t>中</m:t>
        </m:r>
        <m:r>
          <m:rPr>
            <m:sty m:val="p"/>
          </m:rPr>
          <w:rPr>
            <w:rFonts w:hint="default" w:ascii="Cambria Math" w:hAnsi="Cambria Math"/>
            <w:sz w:val="24"/>
            <w:lang w:val="en-US" w:eastAsia="zh-CN"/>
          </w:rPr>
          <m:t xml:space="preserve">(60), </m:t>
        </m:r>
        <m:r>
          <m:rPr>
            <m:sty m:val="p"/>
          </m:rPr>
          <w:rPr>
            <w:rFonts w:hint="eastAsia" w:ascii="Cambria Math" w:hAnsi="Cambria Math"/>
            <w:sz w:val="24"/>
            <w:lang w:val="en-US" w:eastAsia="zh-CN"/>
          </w:rPr>
          <m:t>差</m:t>
        </m:r>
        <m:r>
          <m:rPr>
            <m:sty m:val="p"/>
          </m:rPr>
          <w:rPr>
            <w:rFonts w:hint="default" w:ascii="Cambria Math" w:hAnsi="Cambria Math"/>
            <w:sz w:val="24"/>
            <w:lang w:val="en-US" w:eastAsia="zh-CN"/>
          </w:rPr>
          <m:t>(40)</m:t>
        </m:r>
        <m:r>
          <m:rPr/>
          <w:rPr>
            <w:rFonts w:hint="default" w:ascii="Cambria Math" w:hAnsi="Cambria Math"/>
            <w:sz w:val="24"/>
            <w:lang w:val="en-US" w:eastAsia="zh-CN"/>
          </w:rPr>
          <m:t>}</m:t>
        </m:r>
      </m:oMath>
      <w:r>
        <w:rPr>
          <w:rFonts w:hint="eastAsia" w:hAnsi="Cambria Math"/>
          <w:i w:val="0"/>
          <w:sz w:val="24"/>
          <w:lang w:val="en-US" w:eastAsia="zh-CN"/>
        </w:rPr>
        <w:t>。</w:t>
      </w:r>
    </w:p>
    <w:p w14:paraId="40EC7D82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hAnsi="Cambria Math"/>
          <w:i w:val="0"/>
          <w:sz w:val="24"/>
          <w:lang w:val="en-US" w:eastAsia="zh-CN"/>
        </w:rPr>
      </w:pPr>
      <w:r>
        <w:rPr>
          <w:rFonts w:hint="eastAsia" w:hAnsi="Cambria Math"/>
          <w:i w:val="0"/>
          <w:sz w:val="24"/>
          <w:lang w:val="en-US" w:eastAsia="zh-CN"/>
        </w:rPr>
        <w:t>数据来源：邀请10位福安本地人对福安市乡村旅游现状进行投票打分。</w:t>
      </w:r>
    </w:p>
    <w:p w14:paraId="22FC49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Cambria Math"/>
          <w:i w:val="0"/>
          <w:sz w:val="24"/>
          <w:lang w:val="en-US" w:eastAsia="zh-CN"/>
        </w:rPr>
      </w:pPr>
    </w:p>
    <w:tbl>
      <w:tblPr>
        <w:tblStyle w:val="7"/>
        <w:tblW w:w="896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1394"/>
        <w:gridCol w:w="2117"/>
        <w:gridCol w:w="866"/>
        <w:gridCol w:w="947"/>
        <w:gridCol w:w="947"/>
        <w:gridCol w:w="947"/>
        <w:gridCol w:w="776"/>
      </w:tblGrid>
      <w:tr w14:paraId="3B017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6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95C19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2"/>
                <w:szCs w:val="22"/>
                <w:u w:val="none"/>
                <w:lang w:val="en-US" w:eastAsia="zh-CN" w:bidi="ar"/>
              </w:rPr>
              <w:t>目标层</w:t>
            </w:r>
          </w:p>
        </w:tc>
        <w:tc>
          <w:tcPr>
            <w:tcW w:w="139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3EF75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2"/>
                <w:szCs w:val="22"/>
                <w:u w:val="none"/>
                <w:lang w:val="en-US" w:eastAsia="zh-CN" w:bidi="ar"/>
              </w:rPr>
              <w:t>准则层</w:t>
            </w:r>
          </w:p>
        </w:tc>
        <w:tc>
          <w:tcPr>
            <w:tcW w:w="211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9420F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2"/>
                <w:szCs w:val="22"/>
                <w:u w:val="none"/>
                <w:lang w:val="en-US" w:eastAsia="zh-CN" w:bidi="ar"/>
              </w:rPr>
              <w:t>指标层</w:t>
            </w:r>
          </w:p>
        </w:tc>
        <w:tc>
          <w:tcPr>
            <w:tcW w:w="86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5205A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2"/>
                <w:szCs w:val="22"/>
                <w:u w:val="none"/>
                <w:lang w:val="en-US" w:eastAsia="zh-CN" w:bidi="ar"/>
              </w:rPr>
              <w:t>优</w:t>
            </w:r>
          </w:p>
          <w:p w14:paraId="03147D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2"/>
                <w:szCs w:val="22"/>
                <w:u w:val="none"/>
                <w:lang w:val="en-US" w:eastAsia="zh-CN" w:bidi="ar"/>
              </w:rPr>
              <w:t>(人数)</w:t>
            </w:r>
          </w:p>
        </w:tc>
        <w:tc>
          <w:tcPr>
            <w:tcW w:w="94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40C38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2"/>
                <w:szCs w:val="22"/>
                <w:u w:val="none"/>
                <w:lang w:val="en-US" w:eastAsia="zh-CN" w:bidi="ar"/>
              </w:rPr>
              <w:t>良</w:t>
            </w:r>
          </w:p>
          <w:p w14:paraId="3943FE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2"/>
                <w:szCs w:val="22"/>
                <w:u w:val="none"/>
                <w:lang w:val="en-US" w:eastAsia="zh-CN" w:bidi="ar"/>
              </w:rPr>
              <w:t>(人数)</w:t>
            </w:r>
          </w:p>
        </w:tc>
        <w:tc>
          <w:tcPr>
            <w:tcW w:w="94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1F841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2"/>
                <w:szCs w:val="22"/>
                <w:u w:val="none"/>
                <w:lang w:val="en-US" w:eastAsia="zh-CN" w:bidi="ar"/>
              </w:rPr>
              <w:t>中</w:t>
            </w:r>
          </w:p>
          <w:p w14:paraId="6BEE54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2"/>
                <w:szCs w:val="22"/>
                <w:u w:val="none"/>
                <w:lang w:val="en-US" w:eastAsia="zh-CN" w:bidi="ar"/>
              </w:rPr>
              <w:t>(人数)</w:t>
            </w:r>
          </w:p>
        </w:tc>
        <w:tc>
          <w:tcPr>
            <w:tcW w:w="94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9CD33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2"/>
                <w:szCs w:val="22"/>
                <w:u w:val="none"/>
                <w:lang w:val="en-US" w:eastAsia="zh-CN" w:bidi="ar"/>
              </w:rPr>
              <w:t>差</w:t>
            </w:r>
          </w:p>
          <w:p w14:paraId="0E800B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2"/>
                <w:szCs w:val="22"/>
                <w:u w:val="none"/>
                <w:lang w:val="en-US" w:eastAsia="zh-CN" w:bidi="ar"/>
              </w:rPr>
              <w:t>(人数)</w:t>
            </w:r>
          </w:p>
        </w:tc>
        <w:tc>
          <w:tcPr>
            <w:tcW w:w="77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F48A6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2"/>
                <w:szCs w:val="22"/>
                <w:u w:val="none"/>
                <w:lang w:val="en-US" w:eastAsia="zh-CN" w:bidi="ar"/>
              </w:rPr>
              <w:t>合计</w:t>
            </w:r>
          </w:p>
        </w:tc>
      </w:tr>
      <w:tr w14:paraId="78E58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6" w:type="dxa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07FA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A</w:t>
            </w:r>
          </w:p>
        </w:tc>
        <w:tc>
          <w:tcPr>
            <w:tcW w:w="1394" w:type="dxa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29BD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B1 资源价值</w:t>
            </w:r>
          </w:p>
        </w:tc>
        <w:tc>
          <w:tcPr>
            <w:tcW w:w="211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16AB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C11观赏游憩价值</w:t>
            </w:r>
          </w:p>
        </w:tc>
        <w:tc>
          <w:tcPr>
            <w:tcW w:w="86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1F1D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4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4000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4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9375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94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6F15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77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B910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</w:tr>
      <w:tr w14:paraId="64D87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F051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</w:p>
        </w:tc>
        <w:tc>
          <w:tcPr>
            <w:tcW w:w="139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ACE44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292F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C12 历史文化价值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C9A6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DC57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B157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8B8A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9FA6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</w:tr>
      <w:tr w14:paraId="4A6D1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A78DE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</w:p>
        </w:tc>
        <w:tc>
          <w:tcPr>
            <w:tcW w:w="139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E803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FF6E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C13 珍稀奇特程度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89E5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57DA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04A8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31E3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A628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</w:tr>
      <w:tr w14:paraId="778CD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2B4BE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</w:p>
        </w:tc>
        <w:tc>
          <w:tcPr>
            <w:tcW w:w="139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111B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B2 环境条件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A6D3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C21 空气质量状况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BE6B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F3E4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6040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AC27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C5FA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</w:tr>
      <w:tr w14:paraId="320EE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ED3A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</w:p>
        </w:tc>
        <w:tc>
          <w:tcPr>
            <w:tcW w:w="139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17800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7BB9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C22 植被覆盖率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A808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85A0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FD97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D25B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6752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</w:tr>
      <w:tr w14:paraId="76D34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0A61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</w:p>
        </w:tc>
        <w:tc>
          <w:tcPr>
            <w:tcW w:w="139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00D3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7ABF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C23 水体环境质量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ACE8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B264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DB62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1017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7501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</w:tr>
      <w:tr w14:paraId="0EFFC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DF1B4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</w:p>
        </w:tc>
        <w:tc>
          <w:tcPr>
            <w:tcW w:w="139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A998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B3 开发条件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303A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C31 交通通达度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91B0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574D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665D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7F42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73FE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</w:tr>
      <w:tr w14:paraId="4D77C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A8073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</w:p>
        </w:tc>
        <w:tc>
          <w:tcPr>
            <w:tcW w:w="1394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85114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EE05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C32 客源市场距离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49CC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AB8C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0BE9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108D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9C04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</w:tr>
      <w:tr w14:paraId="40E78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6" w:type="dxa"/>
            <w:vMerge w:val="continue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DC443C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</w:p>
        </w:tc>
        <w:tc>
          <w:tcPr>
            <w:tcW w:w="1394" w:type="dxa"/>
            <w:vMerge w:val="continue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1F9D8A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22752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C33 基础设施完善度</w:t>
            </w:r>
          </w:p>
        </w:tc>
        <w:tc>
          <w:tcPr>
            <w:tcW w:w="86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11E01F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05EB9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25AB39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6188C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77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A22DB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1F1F1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1F1F1F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</w:tr>
    </w:tbl>
    <w:p w14:paraId="346700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Cambria Math"/>
          <w:i w:val="0"/>
          <w:sz w:val="24"/>
          <w:lang w:val="en-US" w:eastAsia="zh-CN"/>
        </w:rPr>
      </w:pPr>
    </w:p>
    <w:p w14:paraId="504616C2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hAnsi="Cambria Math"/>
          <w:i w:val="0"/>
          <w:sz w:val="24"/>
          <w:lang w:val="en-US" w:eastAsia="zh-CN"/>
        </w:rPr>
      </w:pPr>
      <w:r>
        <w:rPr>
          <w:rFonts w:hint="eastAsia" w:hAnsi="Cambria Math"/>
          <w:i w:val="0"/>
          <w:sz w:val="24"/>
          <w:lang w:val="en-US" w:eastAsia="zh-CN"/>
        </w:rPr>
        <w:t>构建矩阵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R</m:t>
        </m:r>
      </m:oMath>
      <w:r>
        <w:rPr>
          <w:rFonts w:hint="eastAsia" w:hAnsi="Cambria Math"/>
          <w:i w:val="0"/>
          <w:sz w:val="24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根据打分结果归一化得到模糊关系矩阵。</w:t>
      </w:r>
    </w:p>
    <w:p w14:paraId="3C9E9A43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lang w:val="en-US" w:eastAsia="zh-CN"/>
              </w:rPr>
              <m:t>1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资源价值矩阵，</w:t>
      </w:r>
      <w:r>
        <w:rPr>
          <w:rFonts w:ascii="宋体" w:hAnsi="宋体" w:eastAsia="宋体" w:cs="宋体"/>
          <w:sz w:val="24"/>
          <w:szCs w:val="24"/>
        </w:rPr>
        <w:t>福安的自然景观与畲族文化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受到居民们高度认可：</w:t>
      </w:r>
    </w:p>
    <w:p w14:paraId="7ACFD0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R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0.8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0.2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0.7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0.3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0.6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0.3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0.1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4"/>
                </w:rPr>
              </m:ctrlPr>
            </m:e>
          </m:d>
        </m:oMath>
      </m:oMathPara>
    </w:p>
    <w:p w14:paraId="5CAD1559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lang w:val="en-US" w:eastAsia="zh-CN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环境条件矩阵，生态环境整体优良：</w:t>
      </w:r>
    </w:p>
    <w:p w14:paraId="534232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R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2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0.6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0.4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0.7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0.3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0.5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0.4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0.1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4"/>
                </w:rPr>
              </m:ctrlPr>
            </m:e>
          </m:d>
        </m:oMath>
      </m:oMathPara>
    </w:p>
    <w:p w14:paraId="0DB931B8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3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开发条件矩阵，</w:t>
      </w:r>
      <w:r>
        <w:rPr>
          <w:rFonts w:ascii="宋体" w:hAnsi="宋体" w:eastAsia="宋体" w:cs="宋体"/>
          <w:sz w:val="24"/>
          <w:szCs w:val="24"/>
        </w:rPr>
        <w:t>基础设施与交通得分较低，反映出山区硬件设施的短板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7E75A4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R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3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0.2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0.4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0.3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0.1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0.4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0.4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0.2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0.1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0.3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0.5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0.1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4"/>
                </w:rPr>
              </m:ctrlPr>
            </m:e>
          </m:d>
        </m:oMath>
      </m:oMathPara>
    </w:p>
    <w:p w14:paraId="11E8753A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hAnsi="Cambria Math"/>
          <w:i w:val="0"/>
          <w:sz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模糊合成运算</w:t>
      </w:r>
    </w:p>
    <w:p w14:paraId="22FE28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利用加权平均型算子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B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W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4"/>
          </w:rPr>
          <m:t>×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ascii="宋体" w:hAnsi="宋体" w:eastAsia="宋体" w:cs="宋体"/>
          <w:sz w:val="24"/>
          <w:szCs w:val="24"/>
        </w:rPr>
        <w:t>进行逐层评价：</w:t>
      </w:r>
    </w:p>
    <w:p w14:paraId="0B34F348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一级评价（准则层评价）：</w:t>
      </w:r>
    </w:p>
    <w:p w14:paraId="34BC5E9B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B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W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4"/>
          </w:rPr>
          <m:t>×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=[0.540,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0.297,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0.163]</m:t>
        </m:r>
        <m:r>
          <m:rPr>
            <m:sty m:val="p"/>
          </m:rPr>
          <w:rPr>
            <w:rFonts w:hint="default" w:ascii="Cambria Math" w:hAnsi="Cambria Math"/>
            <w:sz w:val="24"/>
          </w:rPr>
          <m:t>×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=[0.738,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0.246,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0.016,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0]</m:t>
        </m:r>
      </m:oMath>
    </w:p>
    <w:p w14:paraId="5676FF9B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B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W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4"/>
          </w:rPr>
          <m:t>×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=[0.300,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0.400,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0.300]</m:t>
        </m:r>
        <m:r>
          <m:rPr>
            <m:sty m:val="p"/>
          </m:rPr>
          <w:rPr>
            <w:rFonts w:hint="default" w:ascii="Cambria Math" w:hAnsi="Cambria Math"/>
            <w:sz w:val="24"/>
          </w:rPr>
          <m:t>×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=[0.610,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0.380,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0.030,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0]</m:t>
        </m:r>
      </m:oMath>
    </w:p>
    <w:p w14:paraId="4DD8D613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B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3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W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3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4"/>
          </w:rPr>
          <m:t>×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3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=[0.600,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0.200,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0.200]</m:t>
        </m:r>
        <m:r>
          <m:rPr>
            <m:sty m:val="p"/>
          </m:rPr>
          <w:rPr>
            <w:rFonts w:hint="default" w:ascii="Cambria Math" w:hAnsi="Cambria Math"/>
            <w:sz w:val="24"/>
          </w:rPr>
          <m:t>×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3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=[0.220,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0.380,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0.320,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0.080]</m:t>
        </m:r>
      </m:oMath>
    </w:p>
    <w:p w14:paraId="67AD10D9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二级评价（总体评价）：构建总评价矩阵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</w:rPr>
              <m:t>总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，并与准则层权重</w:t>
      </w:r>
      <m:oMath>
        <m:r>
          <m:rPr/>
          <w:rPr>
            <w:rFonts w:hint="default" w:ascii="Cambria Math" w:hAnsi="Cambria Math" w:eastAsia="宋体"/>
            <w:sz w:val="24"/>
          </w:rPr>
          <m:t>W</m:t>
        </m:r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进行合成：</w:t>
      </w:r>
    </w:p>
    <w:p w14:paraId="5DDDE9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1"/>
                </w:rPr>
                <m:t>R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总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0.738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0.246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0.016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0.610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0.380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0.030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0.220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0.380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0.320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0.080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d>
        </m:oMath>
      </m:oMathPara>
    </w:p>
    <w:p w14:paraId="49D7D0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总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=W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×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R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总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=[0.648,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 xml:space="preserve"> </m:t>
          </m:r>
          <m:r>
            <m:rPr/>
            <w:rPr>
              <w:rFonts w:hint="default" w:ascii="Cambria Math" w:hAnsi="Cambria Math"/>
              <w:sz w:val="21"/>
            </w:rPr>
            <m:t>0.122,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 xml:space="preserve"> </m:t>
          </m:r>
          <m:r>
            <m:rPr/>
            <w:rPr>
              <w:rFonts w:hint="default" w:ascii="Cambria Math" w:hAnsi="Cambria Math"/>
              <w:sz w:val="21"/>
            </w:rPr>
            <m:t>0.230]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×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R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总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=[0.603,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 xml:space="preserve"> </m:t>
          </m:r>
          <m:r>
            <m:rPr/>
            <w:rPr>
              <w:rFonts w:hint="default" w:ascii="Cambria Math" w:hAnsi="Cambria Math"/>
              <w:sz w:val="21"/>
            </w:rPr>
            <m:t>0.293,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 xml:space="preserve"> </m:t>
          </m:r>
          <m:r>
            <m:rPr/>
            <w:rPr>
              <w:rFonts w:hint="default" w:ascii="Cambria Math" w:hAnsi="Cambria Math"/>
              <w:sz w:val="21"/>
            </w:rPr>
            <m:t>0.088,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 xml:space="preserve"> </m:t>
          </m:r>
          <m:r>
            <m:rPr/>
            <w:rPr>
              <w:rFonts w:hint="default" w:ascii="Cambria Math" w:hAnsi="Cambria Math"/>
              <w:sz w:val="21"/>
            </w:rPr>
            <m:t>0.018]</m:t>
          </m:r>
        </m:oMath>
      </m:oMathPara>
    </w:p>
    <w:p w14:paraId="46E5AF36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hAnsi="Cambria Math"/>
          <w:i w:val="0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综合得分计算</w:t>
      </w:r>
    </w:p>
    <w:p w14:paraId="662486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将总体评价向量去模糊化，计算综合得分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m:oMath>
        <m:r>
          <m:rPr/>
          <w:rPr>
            <w:rFonts w:hint="default" w:ascii="Cambria Math" w:hAnsi="Cambria Math"/>
            <w:sz w:val="24"/>
          </w:rPr>
          <m:t>S</m:t>
        </m:r>
      </m:oMath>
      <w:r>
        <w:rPr>
          <w:rFonts w:ascii="宋体" w:hAnsi="宋体" w:eastAsia="宋体" w:cs="宋体"/>
          <w:sz w:val="24"/>
          <w:szCs w:val="24"/>
        </w:rPr>
        <w:t>：</w:t>
      </w:r>
    </w:p>
    <w:p w14:paraId="5BEA2E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S=100</m:t>
          </m:r>
          <m:r>
            <m:rPr>
              <m:sty m:val="p"/>
            </m:rPr>
            <w:rPr>
              <w:rFonts w:hint="default" w:ascii="Cambria Math" w:hAnsi="Cambria Math"/>
              <w:sz w:val="24"/>
            </w:rPr>
            <m:t>×</m:t>
          </m:r>
          <m:r>
            <m:rPr/>
            <w:rPr>
              <w:rFonts w:hint="default" w:ascii="Cambria Math" w:hAnsi="Cambria Math"/>
              <w:sz w:val="24"/>
            </w:rPr>
            <m:t>0.603+80</m:t>
          </m:r>
          <m:r>
            <m:rPr>
              <m:sty m:val="p"/>
            </m:rPr>
            <w:rPr>
              <w:rFonts w:hint="default" w:ascii="Cambria Math" w:hAnsi="Cambria Math"/>
              <w:sz w:val="24"/>
            </w:rPr>
            <m:t>×</m:t>
          </m:r>
          <m:r>
            <m:rPr/>
            <w:rPr>
              <w:rFonts w:hint="default" w:ascii="Cambria Math" w:hAnsi="Cambria Math"/>
              <w:sz w:val="24"/>
            </w:rPr>
            <m:t>0.293+60</m:t>
          </m:r>
          <m:r>
            <m:rPr>
              <m:sty m:val="p"/>
            </m:rPr>
            <w:rPr>
              <w:rFonts w:hint="default" w:ascii="Cambria Math" w:hAnsi="Cambria Math"/>
              <w:sz w:val="24"/>
            </w:rPr>
            <m:t>×</m:t>
          </m:r>
          <m:r>
            <m:rPr/>
            <w:rPr>
              <w:rFonts w:hint="default" w:ascii="Cambria Math" w:hAnsi="Cambria Math"/>
              <w:sz w:val="24"/>
            </w:rPr>
            <m:t>0.088+40</m:t>
          </m:r>
          <m:r>
            <m:rPr>
              <m:sty m:val="p"/>
            </m:rPr>
            <w:rPr>
              <w:rFonts w:hint="default" w:ascii="Cambria Math" w:hAnsi="Cambria Math"/>
              <w:sz w:val="24"/>
            </w:rPr>
            <m:t>×</m:t>
          </m:r>
          <m:r>
            <m:rPr/>
            <w:rPr>
              <w:rFonts w:hint="default" w:ascii="Cambria Math" w:hAnsi="Cambria Math"/>
              <w:sz w:val="24"/>
            </w:rPr>
            <m:t>0.018=89.74</m:t>
          </m:r>
        </m:oMath>
      </m:oMathPara>
    </w:p>
    <w:p w14:paraId="1E052E0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hAnsi="Cambria Math"/>
          <w:i w:val="0"/>
          <w:sz w:val="24"/>
          <w:lang w:val="en-US" w:eastAsia="zh-CN"/>
        </w:rPr>
      </w:pPr>
      <w:r>
        <w:rPr>
          <w:rFonts w:hint="eastAsia" w:hAnsi="Cambria Math"/>
          <w:i w:val="0"/>
          <w:sz w:val="24"/>
          <w:lang w:val="en-US" w:eastAsia="zh-CN"/>
        </w:rPr>
        <w:t>结论与建议</w:t>
      </w:r>
    </w:p>
    <w:p w14:paraId="7B567EFB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hAnsi="Cambria Math"/>
          <w:i w:val="0"/>
          <w:sz w:val="24"/>
          <w:lang w:val="en-US" w:eastAsia="zh-CN"/>
        </w:rPr>
      </w:pPr>
      <w:r>
        <w:rPr>
          <w:rFonts w:hint="default" w:hAnsi="Cambria Math"/>
          <w:i w:val="0"/>
          <w:sz w:val="24"/>
          <w:lang w:val="en-US" w:eastAsia="zh-CN"/>
        </w:rPr>
        <w:t>评价结论：根据最大隶属度原则，福安市乡村旅游资源综合评价向量中</w:t>
      </w:r>
      <w:r>
        <w:rPr>
          <w:rFonts w:hint="eastAsia" w:hAnsi="Cambria Math"/>
          <w:i w:val="0"/>
          <w:sz w:val="24"/>
          <w:lang w:val="en-US" w:eastAsia="zh-CN"/>
        </w:rPr>
        <w:t>“</w:t>
      </w:r>
      <w:r>
        <w:rPr>
          <w:rFonts w:hint="default" w:hAnsi="Cambria Math"/>
          <w:i w:val="0"/>
          <w:sz w:val="24"/>
          <w:lang w:val="en-US" w:eastAsia="zh-CN"/>
        </w:rPr>
        <w:t>优</w:t>
      </w:r>
      <w:r>
        <w:rPr>
          <w:rFonts w:hint="eastAsia" w:hAnsi="Cambria Math"/>
          <w:i w:val="0"/>
          <w:sz w:val="24"/>
          <w:lang w:val="en-US" w:eastAsia="zh-CN"/>
        </w:rPr>
        <w:t>”</w:t>
      </w:r>
      <w:r>
        <w:rPr>
          <w:rFonts w:hint="default" w:hAnsi="Cambria Math"/>
          <w:i w:val="0"/>
          <w:sz w:val="24"/>
          <w:lang w:val="en-US" w:eastAsia="zh-CN"/>
        </w:rPr>
        <w:t>的隶属度最高</w:t>
      </w:r>
      <w:r>
        <w:rPr>
          <w:rFonts w:hint="eastAsia" w:hAnsi="Cambria Math"/>
          <w:i w:val="0"/>
          <w:sz w:val="24"/>
          <w:lang w:val="en-US" w:eastAsia="zh-CN"/>
        </w:rPr>
        <w:t>，为</w:t>
      </w:r>
      <w:r>
        <w:rPr>
          <w:rFonts w:hint="default" w:hAnsi="Cambria Math"/>
          <w:i w:val="0"/>
          <w:sz w:val="24"/>
          <w:lang w:val="en-US" w:eastAsia="zh-CN"/>
        </w:rPr>
        <w:t>0.603</w:t>
      </w:r>
      <w:r>
        <w:rPr>
          <w:rFonts w:hint="eastAsia" w:hAnsi="Cambria Math"/>
          <w:i w:val="0"/>
          <w:sz w:val="24"/>
          <w:lang w:val="en-US" w:eastAsia="zh-CN"/>
        </w:rPr>
        <w:t>，</w:t>
      </w:r>
      <w:r>
        <w:rPr>
          <w:rFonts w:hint="default" w:hAnsi="Cambria Math"/>
          <w:i w:val="0"/>
          <w:sz w:val="24"/>
          <w:lang w:val="en-US" w:eastAsia="zh-CN"/>
        </w:rPr>
        <w:t>综合得分为89.7</w:t>
      </w:r>
      <w:r>
        <w:rPr>
          <w:rFonts w:hint="eastAsia" w:hAnsi="Cambria Math"/>
          <w:i w:val="0"/>
          <w:sz w:val="24"/>
          <w:lang w:val="en-US" w:eastAsia="zh-CN"/>
        </w:rPr>
        <w:t>4</w:t>
      </w:r>
      <w:r>
        <w:rPr>
          <w:rFonts w:hint="default" w:hAnsi="Cambria Math"/>
          <w:i w:val="0"/>
          <w:sz w:val="24"/>
          <w:lang w:val="en-US" w:eastAsia="zh-CN"/>
        </w:rPr>
        <w:t>分</w:t>
      </w:r>
      <w:r>
        <w:rPr>
          <w:rFonts w:hint="eastAsia" w:hAnsi="Cambria Math"/>
          <w:i w:val="0"/>
          <w:sz w:val="24"/>
          <w:lang w:val="en-US"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这表明福安市乡村旅游开发潜力巨大，资源禀赋极佳</w:t>
      </w:r>
      <w:r>
        <w:rPr>
          <w:rFonts w:hint="eastAsia" w:hAnsi="Cambria Math"/>
          <w:i w:val="0"/>
          <w:sz w:val="24"/>
          <w:lang w:val="en-US" w:eastAsia="zh-CN"/>
        </w:rPr>
        <w:t>。其中，资源价值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B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val="en-US" w:eastAsia="zh-CN"/>
        </w:rPr>
        <w:t xml:space="preserve">的贡献率最大，说明世界地质公园、坦洋工夫茶文化及畲族风情是福安旅游的核心竞争力；但在开发条件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B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3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val="en-US" w:eastAsia="zh-CN"/>
        </w:rPr>
        <w:t>中，“中”的隶属度达到32%，显著高于其他维度。这反映出交通通达性和基础设施建设滞后于优质资源的开发需求，存在“一流资源、三流设施”的现象</w:t>
      </w:r>
      <w:r>
        <w:rPr>
          <w:rFonts w:hint="default" w:hAnsi="Cambria Math"/>
          <w:i w:val="0"/>
          <w:sz w:val="24"/>
          <w:lang w:val="en-US" w:eastAsia="zh-CN"/>
        </w:rPr>
        <w:t>。</w:t>
      </w:r>
    </w:p>
    <w:p w14:paraId="10676C77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hAnsi="Cambria Math"/>
          <w:i w:val="0"/>
          <w:sz w:val="24"/>
          <w:lang w:val="en-US" w:eastAsia="zh-CN"/>
        </w:rPr>
      </w:pPr>
      <w:r>
        <w:rPr>
          <w:rFonts w:hint="default" w:hAnsi="Cambria Math"/>
          <w:i w:val="0"/>
          <w:sz w:val="24"/>
          <w:lang w:val="en-US" w:eastAsia="zh-CN"/>
        </w:rPr>
        <w:t>发展建议：</w:t>
      </w:r>
    </w:p>
    <w:p w14:paraId="099D4867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hAnsi="Cambria Math"/>
          <w:i w:val="0"/>
          <w:sz w:val="24"/>
          <w:lang w:val="en-US" w:eastAsia="zh-CN"/>
        </w:rPr>
      </w:pPr>
      <w:r>
        <w:rPr>
          <w:rFonts w:hint="default" w:hAnsi="Cambria Math"/>
          <w:i w:val="0"/>
          <w:sz w:val="24"/>
          <w:lang w:val="en-US" w:eastAsia="zh-CN"/>
        </w:rPr>
        <w:t>补齐交通短板：</w:t>
      </w:r>
      <w:r>
        <w:rPr>
          <w:rFonts w:ascii="宋体" w:hAnsi="宋体" w:eastAsia="宋体" w:cs="宋体"/>
          <w:sz w:val="24"/>
          <w:szCs w:val="24"/>
        </w:rPr>
        <w:t>重点提升连接白云山景区、穆云畲族乡、坦洋村等核心景区的旅游专线公路等级，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充分考虑旅客实际情况改善交通条件，</w:t>
      </w:r>
      <w:r>
        <w:rPr>
          <w:rFonts w:ascii="宋体" w:hAnsi="宋体" w:eastAsia="宋体" w:cs="宋体"/>
          <w:sz w:val="24"/>
          <w:szCs w:val="24"/>
        </w:rPr>
        <w:t>解决“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旅客</w:t>
      </w:r>
      <w:r>
        <w:rPr>
          <w:rFonts w:ascii="宋体" w:hAnsi="宋体" w:eastAsia="宋体" w:cs="宋体"/>
          <w:sz w:val="24"/>
          <w:szCs w:val="24"/>
        </w:rPr>
        <w:t>进不来”的问题。</w:t>
      </w:r>
    </w:p>
    <w:p w14:paraId="4A32AD45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hAnsi="Cambria Math"/>
          <w:i w:val="0"/>
          <w:sz w:val="24"/>
          <w:lang w:val="en-US" w:eastAsia="zh-CN"/>
        </w:rPr>
      </w:pPr>
      <w:r>
        <w:rPr>
          <w:rFonts w:hint="default" w:hAnsi="Cambria Math"/>
          <w:i w:val="0"/>
          <w:sz w:val="24"/>
          <w:lang w:val="en-US" w:eastAsia="zh-CN"/>
        </w:rPr>
        <w:t>深化文化</w:t>
      </w:r>
      <w:r>
        <w:rPr>
          <w:rFonts w:hint="eastAsia" w:hAnsi="Cambria Math"/>
          <w:i w:val="0"/>
          <w:sz w:val="24"/>
          <w:lang w:val="en-US" w:eastAsia="zh-CN"/>
        </w:rPr>
        <w:t>产业</w:t>
      </w:r>
      <w:r>
        <w:rPr>
          <w:rFonts w:hint="default" w:hAnsi="Cambria Math"/>
          <w:i w:val="0"/>
          <w:sz w:val="24"/>
          <w:lang w:val="en-US" w:eastAsia="zh-CN"/>
        </w:rPr>
        <w:t>赋能：</w:t>
      </w:r>
      <w:r>
        <w:rPr>
          <w:rFonts w:ascii="宋体" w:hAnsi="宋体" w:eastAsia="宋体" w:cs="宋体"/>
          <w:sz w:val="24"/>
          <w:szCs w:val="24"/>
        </w:rPr>
        <w:t>充分利用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本地茶业</w:t>
      </w:r>
      <w:r>
        <w:rPr>
          <w:rFonts w:ascii="宋体" w:hAnsi="宋体" w:eastAsia="宋体" w:cs="宋体"/>
          <w:sz w:val="24"/>
          <w:szCs w:val="24"/>
        </w:rPr>
        <w:t>“坦洋工夫”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ascii="宋体" w:hAnsi="宋体" w:eastAsia="宋体" w:cs="宋体"/>
          <w:sz w:val="24"/>
          <w:szCs w:val="24"/>
        </w:rPr>
        <w:t>品牌效应和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属于本地特色的</w:t>
      </w:r>
      <w:r>
        <w:rPr>
          <w:rFonts w:ascii="宋体" w:hAnsi="宋体" w:eastAsia="宋体" w:cs="宋体"/>
          <w:sz w:val="24"/>
          <w:szCs w:val="24"/>
        </w:rPr>
        <w:t>畲族非遗文化，开发茶园研学、畲族医药康养、制茶体验等深度游产品，提升旅游产品的附加值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解决“旅客消费意愿低”的问题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582DD0C5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hAnsi="Cambria Math"/>
          <w:i w:val="0"/>
          <w:sz w:val="24"/>
          <w:lang w:val="en-US" w:eastAsia="zh-CN"/>
        </w:rPr>
      </w:pPr>
      <w:r>
        <w:rPr>
          <w:rFonts w:hint="default" w:hAnsi="Cambria Math"/>
          <w:i w:val="0"/>
          <w:sz w:val="24"/>
          <w:lang w:val="en-US" w:eastAsia="zh-CN"/>
        </w:rPr>
        <w:t>完善</w:t>
      </w:r>
      <w:r>
        <w:rPr>
          <w:rFonts w:hint="eastAsia" w:hAnsi="Cambria Math"/>
          <w:i w:val="0"/>
          <w:sz w:val="24"/>
          <w:lang w:val="en-US" w:eastAsia="zh-CN"/>
        </w:rPr>
        <w:t>景点</w:t>
      </w:r>
      <w:r>
        <w:rPr>
          <w:rFonts w:hint="default" w:hAnsi="Cambria Math"/>
          <w:i w:val="0"/>
          <w:sz w:val="24"/>
          <w:lang w:val="en-US" w:eastAsia="zh-CN"/>
        </w:rPr>
        <w:t>基础设施：</w:t>
      </w:r>
      <w:r>
        <w:rPr>
          <w:rFonts w:ascii="宋体" w:hAnsi="宋体" w:eastAsia="宋体" w:cs="宋体"/>
          <w:sz w:val="24"/>
          <w:szCs w:val="24"/>
        </w:rPr>
        <w:t>结合农村人居环境整治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工作</w:t>
      </w:r>
      <w:r>
        <w:rPr>
          <w:rFonts w:ascii="宋体" w:hAnsi="宋体" w:eastAsia="宋体" w:cs="宋体"/>
          <w:sz w:val="24"/>
          <w:szCs w:val="24"/>
        </w:rPr>
        <w:t>，重点解决乡村公厕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建设不完善</w:t>
      </w:r>
      <w:r>
        <w:rPr>
          <w:rFonts w:ascii="宋体" w:hAnsi="宋体" w:eastAsia="宋体" w:cs="宋体"/>
          <w:sz w:val="24"/>
          <w:szCs w:val="24"/>
        </w:rPr>
        <w:t>、旅游标识标牌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不明</w:t>
      </w:r>
      <w:r>
        <w:rPr>
          <w:rFonts w:ascii="宋体" w:hAnsi="宋体" w:eastAsia="宋体" w:cs="宋体"/>
          <w:sz w:val="24"/>
          <w:szCs w:val="24"/>
        </w:rPr>
        <w:t>、停车场及游客服务中心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缺乏</w:t>
      </w:r>
      <w:r>
        <w:rPr>
          <w:rFonts w:ascii="宋体" w:hAnsi="宋体" w:eastAsia="宋体" w:cs="宋体"/>
          <w:sz w:val="24"/>
          <w:szCs w:val="24"/>
        </w:rPr>
        <w:t>建设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等的</w:t>
      </w:r>
      <w:r>
        <w:rPr>
          <w:rFonts w:ascii="宋体" w:hAnsi="宋体" w:eastAsia="宋体" w:cs="宋体"/>
          <w:sz w:val="24"/>
          <w:szCs w:val="24"/>
        </w:rPr>
        <w:t>问题，解决“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旅客</w:t>
      </w:r>
      <w:r>
        <w:rPr>
          <w:rFonts w:ascii="宋体" w:hAnsi="宋体" w:eastAsia="宋体" w:cs="宋体"/>
          <w:sz w:val="24"/>
          <w:szCs w:val="24"/>
        </w:rPr>
        <w:t>留不住”的问题。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87A8BE"/>
    <w:multiLevelType w:val="singleLevel"/>
    <w:tmpl w:val="AA87A8B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EF24955"/>
    <w:multiLevelType w:val="singleLevel"/>
    <w:tmpl w:val="AEF24955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2">
    <w:nsid w:val="BE0F1D44"/>
    <w:multiLevelType w:val="singleLevel"/>
    <w:tmpl w:val="BE0F1D44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3">
    <w:nsid w:val="BE11F12B"/>
    <w:multiLevelType w:val="singleLevel"/>
    <w:tmpl w:val="BE11F12B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CEAB086"/>
    <w:multiLevelType w:val="singleLevel"/>
    <w:tmpl w:val="CCEAB086"/>
    <w:lvl w:ilvl="0" w:tentative="0">
      <w:start w:val="1"/>
      <w:numFmt w:val="decimal"/>
      <w:suff w:val="space"/>
      <w:lvlText w:val="(%1)"/>
      <w:lvlJc w:val="left"/>
    </w:lvl>
  </w:abstractNum>
  <w:abstractNum w:abstractNumId="5">
    <w:nsid w:val="D0AB831E"/>
    <w:multiLevelType w:val="singleLevel"/>
    <w:tmpl w:val="D0AB831E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6">
    <w:nsid w:val="E0099F6D"/>
    <w:multiLevelType w:val="singleLevel"/>
    <w:tmpl w:val="E0099F6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E9D4D3AF"/>
    <w:multiLevelType w:val="singleLevel"/>
    <w:tmpl w:val="E9D4D3AF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12C7B539"/>
    <w:multiLevelType w:val="singleLevel"/>
    <w:tmpl w:val="12C7B539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14591635"/>
    <w:multiLevelType w:val="singleLevel"/>
    <w:tmpl w:val="14591635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0">
    <w:nsid w:val="20023DE5"/>
    <w:multiLevelType w:val="singleLevel"/>
    <w:tmpl w:val="20023DE5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1">
    <w:nsid w:val="21990F28"/>
    <w:multiLevelType w:val="singleLevel"/>
    <w:tmpl w:val="21990F2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2">
    <w:nsid w:val="23387F84"/>
    <w:multiLevelType w:val="singleLevel"/>
    <w:tmpl w:val="23387F84"/>
    <w:lvl w:ilvl="0" w:tentative="0">
      <w:start w:val="1"/>
      <w:numFmt w:val="decimal"/>
      <w:suff w:val="space"/>
      <w:lvlText w:val="(%1)"/>
      <w:lvlJc w:val="left"/>
    </w:lvl>
  </w:abstractNum>
  <w:abstractNum w:abstractNumId="13">
    <w:nsid w:val="41F0C369"/>
    <w:multiLevelType w:val="singleLevel"/>
    <w:tmpl w:val="41F0C369"/>
    <w:lvl w:ilvl="0" w:tentative="0">
      <w:start w:val="1"/>
      <w:numFmt w:val="chineseCounting"/>
      <w:suff w:val="space"/>
      <w:lvlText w:val="%1、"/>
      <w:lvlJc w:val="left"/>
      <w:rPr>
        <w:rFonts w:hint="eastAsia"/>
        <w:sz w:val="24"/>
        <w:szCs w:val="24"/>
      </w:rPr>
    </w:lvl>
  </w:abstractNum>
  <w:abstractNum w:abstractNumId="14">
    <w:nsid w:val="4608FFE8"/>
    <w:multiLevelType w:val="singleLevel"/>
    <w:tmpl w:val="4608FFE8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5">
    <w:nsid w:val="513903C8"/>
    <w:multiLevelType w:val="singleLevel"/>
    <w:tmpl w:val="513903C8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6">
    <w:nsid w:val="6668D79A"/>
    <w:multiLevelType w:val="singleLevel"/>
    <w:tmpl w:val="6668D79A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7">
    <w:nsid w:val="6AE23DAC"/>
    <w:multiLevelType w:val="singleLevel"/>
    <w:tmpl w:val="6AE23DAC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num w:numId="1">
    <w:abstractNumId w:val="13"/>
  </w:num>
  <w:num w:numId="2">
    <w:abstractNumId w:val="7"/>
  </w:num>
  <w:num w:numId="3">
    <w:abstractNumId w:val="12"/>
  </w:num>
  <w:num w:numId="4">
    <w:abstractNumId w:val="0"/>
  </w:num>
  <w:num w:numId="5">
    <w:abstractNumId w:val="15"/>
  </w:num>
  <w:num w:numId="6">
    <w:abstractNumId w:val="4"/>
  </w:num>
  <w:num w:numId="7">
    <w:abstractNumId w:val="1"/>
  </w:num>
  <w:num w:numId="8">
    <w:abstractNumId w:val="10"/>
  </w:num>
  <w:num w:numId="9">
    <w:abstractNumId w:val="2"/>
  </w:num>
  <w:num w:numId="10">
    <w:abstractNumId w:val="14"/>
  </w:num>
  <w:num w:numId="11">
    <w:abstractNumId w:val="17"/>
  </w:num>
  <w:num w:numId="12">
    <w:abstractNumId w:val="8"/>
  </w:num>
  <w:num w:numId="13">
    <w:abstractNumId w:val="11"/>
  </w:num>
  <w:num w:numId="14">
    <w:abstractNumId w:val="5"/>
  </w:num>
  <w:num w:numId="15">
    <w:abstractNumId w:val="9"/>
  </w:num>
  <w:num w:numId="16">
    <w:abstractNumId w:val="6"/>
  </w:num>
  <w:num w:numId="17">
    <w:abstractNumId w:val="3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1506C8"/>
    <w:rsid w:val="02A6042B"/>
    <w:rsid w:val="06C853B3"/>
    <w:rsid w:val="0A0E3619"/>
    <w:rsid w:val="0B156DBB"/>
    <w:rsid w:val="0B4E6DAF"/>
    <w:rsid w:val="0C5122DE"/>
    <w:rsid w:val="0C601702"/>
    <w:rsid w:val="0CB10741"/>
    <w:rsid w:val="101A42BE"/>
    <w:rsid w:val="129A7E91"/>
    <w:rsid w:val="15204125"/>
    <w:rsid w:val="16007AB2"/>
    <w:rsid w:val="16F07B27"/>
    <w:rsid w:val="1A204BC7"/>
    <w:rsid w:val="1F430A42"/>
    <w:rsid w:val="1F9F69F6"/>
    <w:rsid w:val="203C2E38"/>
    <w:rsid w:val="20F36B91"/>
    <w:rsid w:val="231506C8"/>
    <w:rsid w:val="255563F8"/>
    <w:rsid w:val="258B7E9B"/>
    <w:rsid w:val="29425E28"/>
    <w:rsid w:val="2AF459E0"/>
    <w:rsid w:val="2E8E1CA7"/>
    <w:rsid w:val="2FCC27F9"/>
    <w:rsid w:val="3213149A"/>
    <w:rsid w:val="3317670F"/>
    <w:rsid w:val="33536400"/>
    <w:rsid w:val="34605E94"/>
    <w:rsid w:val="346F2076"/>
    <w:rsid w:val="34B35F45"/>
    <w:rsid w:val="37357164"/>
    <w:rsid w:val="3B5B73B5"/>
    <w:rsid w:val="3E8360AC"/>
    <w:rsid w:val="3FA64167"/>
    <w:rsid w:val="3FA745A7"/>
    <w:rsid w:val="406311E6"/>
    <w:rsid w:val="409475F1"/>
    <w:rsid w:val="4165219D"/>
    <w:rsid w:val="41AE46E3"/>
    <w:rsid w:val="41CA2B9F"/>
    <w:rsid w:val="428242AC"/>
    <w:rsid w:val="42917E19"/>
    <w:rsid w:val="429A48E9"/>
    <w:rsid w:val="432D6943"/>
    <w:rsid w:val="43AE2740"/>
    <w:rsid w:val="440814FA"/>
    <w:rsid w:val="454D39F9"/>
    <w:rsid w:val="46357180"/>
    <w:rsid w:val="475D23FE"/>
    <w:rsid w:val="49F93CCA"/>
    <w:rsid w:val="4BD66E16"/>
    <w:rsid w:val="4D956858"/>
    <w:rsid w:val="4DB52955"/>
    <w:rsid w:val="4DDC75CD"/>
    <w:rsid w:val="4E0D2791"/>
    <w:rsid w:val="52A97682"/>
    <w:rsid w:val="52E07BC5"/>
    <w:rsid w:val="54890697"/>
    <w:rsid w:val="55C776C9"/>
    <w:rsid w:val="56C80AC9"/>
    <w:rsid w:val="65064640"/>
    <w:rsid w:val="65C43C25"/>
    <w:rsid w:val="67005A4F"/>
    <w:rsid w:val="6930464D"/>
    <w:rsid w:val="6A0D160A"/>
    <w:rsid w:val="6B8D0D02"/>
    <w:rsid w:val="6C044D7B"/>
    <w:rsid w:val="6C0D63B6"/>
    <w:rsid w:val="70C70242"/>
    <w:rsid w:val="71E103E2"/>
    <w:rsid w:val="74F648ED"/>
    <w:rsid w:val="764364A0"/>
    <w:rsid w:val="77A92C7B"/>
    <w:rsid w:val="787E1A12"/>
    <w:rsid w:val="7B1D19B6"/>
    <w:rsid w:val="7D711B45"/>
    <w:rsid w:val="7E50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spacing w:line="360" w:lineRule="exact"/>
      <w:outlineLvl w:val="0"/>
    </w:pPr>
    <w:rPr>
      <w:b/>
      <w:spacing w:val="-8"/>
      <w:sz w:val="2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line="360" w:lineRule="exact"/>
    </w:pPr>
    <w:rPr>
      <w:bCs/>
      <w:spacing w:val="-8"/>
      <w:sz w:val="24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1554</Words>
  <Characters>2048</Characters>
  <Lines>0</Lines>
  <Paragraphs>0</Paragraphs>
  <TotalTime>0</TotalTime>
  <ScaleCrop>false</ScaleCrop>
  <LinksUpToDate>false</LinksUpToDate>
  <CharactersWithSpaces>2094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2025-09-20T15:01:00Z</dcterms:created>
  <dc:creator>许愿</dc:creator>
  <cp:lastModifiedBy>许愿</cp:lastModifiedBy>
  <dcterms:modified xsi:type="dcterms:W3CDTF">2026-02-15T11:19:14Z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2B82153F69C44532959F27BA8CBE95F1_11</vt:lpwstr>
  </property>
  <property fmtid="{D5CDD505-2E9C-101B-9397-08002B2CF9AE}" pid="4" name="KSOTemplateDocerSaveRecord">
    <vt:lpwstr>eyJoZGlkIjoiYTBmYjcwZTEwNGE2ZjUzN2UyYWZlNTlhNmRjNWUzYjUiLCJ1c2VySWQiOiI2MTM2Nzk2MDYifQ==</vt:lpwstr>
  </property>
</Properties>
</file>