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一、名词解释题库</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1.人口平衡方程：Pt=P0+B-D+I-O，其中B-D为自然变动，I-O为机械变动。</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2.总和生育率：表明如果一群妇女按照一组特定的年龄组别生育率度过整个育龄期（15-49岁）并且在整个育龄期内无一死亡，那么平均每名（或每千名）妇女将有可能生育的子女数，就是总和生育率。</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3.人口转变：人口转变是对人口再生产模式的历史、现状和未来规律的总结</w:t>
      </w:r>
      <w:r>
        <w:rPr>
          <w:rFonts w:hint="default" w:ascii="Times New Roman" w:hAnsi="Times New Roman" w:cs="Times New Roman"/>
          <w:lang w:eastAsia="zh-CN"/>
        </w:rPr>
        <w:t>。</w:t>
      </w:r>
      <w:r>
        <w:rPr>
          <w:rFonts w:hint="default" w:ascii="Times New Roman" w:hAnsi="Times New Roman" w:cs="Times New Roman"/>
        </w:rPr>
        <w:t>即人口再生产，人口再生产类型由低级向高级依次的更替。</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4.自然增长率：指一定时期内（通常以年为计算单位）人口自然增长数（出生人数减去死亡人数）与该时期内平均人口数之比。</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5.婴儿死亡率：指一个时期内不满周岁的婴儿死亡率数同全部活产婴儿数的比率。</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6.性别结构：是指一定时点、一定地区男女两性在全体人口中的比重，通常用百分比来表示。</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7.年龄结构：指某一时点、一定地区总人口中不同年龄（组）人口的数量比例关系。反映人口在各年龄（组）的分布状况。</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8.人口（性别）年龄金字塔：是以条形图的形式直观地表现人口的年龄结构与性别结构的组合图形。在一定地区一定时点，按照人口性别划分的不同的年龄段的结构情况，用金字塔来表示。</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9.老龄化：老龄化是一个动态的概念，它表示老年人口数量比重不断增加的过程。 国际上将65岁作为老龄化的起始时间，通常在人口中60岁以上占人口的10%以上或者65岁人口占人口的7%以上即认为是进入老龄化。</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10.人口素质：是指一个国家或地区的人民在改造自然和改造社会过程中所具有的体魄、智力、思想道德的总体水平。</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11.人口地域分布：是指一定时间内人口在一定地区范围的空间分布状况,是人口过程在空间上的表现形式。具有时间和空间的概念。</w:t>
      </w:r>
    </w:p>
    <w:p>
      <w:pPr>
        <w:keepNext w:val="0"/>
        <w:keepLines w:val="0"/>
        <w:pageBreakBefore w:val="0"/>
        <w:widowControl w:val="0"/>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12.人口迁移：人口迁移是人口移动的一种形式，是指人们变更定居地的空间流动行为。 人口迁移的三大要素为时间上通常是一年，是两个居住地之间的变更。</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城镇化：社会学的角度：城镇化是城市生活方式的扩大，是人口向城镇集中的结果。 地理学的角度：第二、第三产业向城镇的集中就是非农业部门的经济区位向城镇的集中，人口向城镇的集中也是劳动力和消费区位向城镇的集中。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综合：由于生产方式的发展引起的城镇在规模上和数量上的增加，农村人口向城镇人口集中，工业化和非农化的发展，同时伴随着城市生活方式广泛的影响农村的生活方式。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14.人类发展指数</w:t>
      </w:r>
      <w:r>
        <w:rPr>
          <w:rFonts w:hint="default" w:ascii="Times New Roman" w:hAnsi="Times New Roman" w:cs="Times New Roman"/>
          <w:lang w:eastAsia="zh-CN"/>
        </w:rPr>
        <w:t>：</w:t>
      </w:r>
      <w:r>
        <w:rPr>
          <w:rFonts w:hint="default" w:ascii="Times New Roman" w:hAnsi="Times New Roman" w:cs="Times New Roman"/>
        </w:rPr>
        <w:t>先确定出生时平均预期寿命、教育获得水平和人均国民收入（GNI）三项指标分别世界各国之间或一个国家各地区之间的最大值MaxX</w:t>
      </w:r>
      <w:r>
        <w:rPr>
          <w:rFonts w:hint="default" w:ascii="Times New Roman" w:hAnsi="Times New Roman" w:cs="Times New Roman"/>
          <w:vertAlign w:val="subscript"/>
        </w:rPr>
        <w:t>ij</w:t>
      </w:r>
      <w:r>
        <w:rPr>
          <w:rFonts w:hint="default" w:ascii="Times New Roman" w:hAnsi="Times New Roman" w:cs="Times New Roman"/>
        </w:rPr>
        <w:t>和最小值MinX</w:t>
      </w:r>
      <w:r>
        <w:rPr>
          <w:rFonts w:hint="default" w:ascii="Times New Roman" w:hAnsi="Times New Roman" w:cs="Times New Roman"/>
          <w:vertAlign w:val="subscript"/>
        </w:rPr>
        <w:t>ij</w:t>
      </w:r>
      <w:r>
        <w:rPr>
          <w:rFonts w:hint="default" w:ascii="Times New Roman" w:hAnsi="Times New Roman" w:cs="Times New Roman"/>
          <w:lang w:eastAsia="zh-CN"/>
        </w:rPr>
        <w:t>，</w:t>
      </w:r>
      <w:r>
        <w:rPr>
          <w:rFonts w:hint="default" w:ascii="Times New Roman" w:hAnsi="Times New Roman" w:cs="Times New Roman"/>
        </w:rPr>
        <w:t>然后把各地区的数值X</w:t>
      </w:r>
      <w:r>
        <w:rPr>
          <w:rFonts w:hint="default" w:ascii="Times New Roman" w:hAnsi="Times New Roman" w:cs="Times New Roman"/>
          <w:vertAlign w:val="subscript"/>
        </w:rPr>
        <w:t>ij</w:t>
      </w:r>
      <w:r>
        <w:rPr>
          <w:rFonts w:hint="default" w:ascii="Times New Roman" w:hAnsi="Times New Roman" w:cs="Times New Roman"/>
        </w:rPr>
        <w:t>带入下列公式求得。</w:t>
      </w:r>
      <w:r>
        <w:rPr>
          <w:rFonts w:hint="eastAsia" w:ascii="Times New Roman" w:hAnsi="Times New Roman" w:cs="Times New Roman"/>
          <w:lang w:val="en-US" w:eastAsia="zh-CN"/>
        </w:rPr>
        <w:t xml:space="preserve">        </w:t>
      </w:r>
      <w:r>
        <w:rPr>
          <w:rFonts w:hint="default" w:ascii="Times New Roman" w:hAnsi="Times New Roman" w:cs="Times New Roman"/>
        </w:rPr>
        <w:t xml:space="preserve">I </w:t>
      </w:r>
      <w:r>
        <w:rPr>
          <w:rFonts w:hint="default" w:ascii="Times New Roman" w:hAnsi="Times New Roman" w:cs="Times New Roman"/>
          <w:vertAlign w:val="subscript"/>
        </w:rPr>
        <w:t>ij</w:t>
      </w:r>
      <w:r>
        <w:rPr>
          <w:rFonts w:hint="default" w:ascii="Times New Roman" w:hAnsi="Times New Roman" w:cs="Times New Roman"/>
        </w:rPr>
        <w:t>=（X</w:t>
      </w:r>
      <w:r>
        <w:rPr>
          <w:rFonts w:hint="default" w:ascii="Times New Roman" w:hAnsi="Times New Roman" w:cs="Times New Roman"/>
          <w:vertAlign w:val="subscript"/>
        </w:rPr>
        <w:t>ij</w:t>
      </w:r>
      <w:r>
        <w:rPr>
          <w:rFonts w:hint="default" w:ascii="Times New Roman" w:hAnsi="Times New Roman" w:cs="Times New Roman"/>
        </w:rPr>
        <w:t>-MinX</w:t>
      </w:r>
      <w:r>
        <w:rPr>
          <w:rFonts w:hint="default" w:ascii="Times New Roman" w:hAnsi="Times New Roman" w:cs="Times New Roman"/>
          <w:vertAlign w:val="subscript"/>
        </w:rPr>
        <w:t>ij</w:t>
      </w:r>
      <w:r>
        <w:rPr>
          <w:rFonts w:hint="default" w:ascii="Times New Roman" w:hAnsi="Times New Roman" w:cs="Times New Roman"/>
        </w:rPr>
        <w:t>）/MaxX</w:t>
      </w:r>
      <w:r>
        <w:rPr>
          <w:rFonts w:hint="default" w:ascii="Times New Roman" w:hAnsi="Times New Roman" w:cs="Times New Roman"/>
          <w:vertAlign w:val="subscript"/>
        </w:rPr>
        <w:t>ij</w:t>
      </w:r>
      <w:r>
        <w:rPr>
          <w:rFonts w:hint="default" w:ascii="Times New Roman" w:hAnsi="Times New Roman" w:cs="Times New Roman"/>
        </w:rPr>
        <w:t>- MinX</w:t>
      </w:r>
      <w:r>
        <w:rPr>
          <w:rFonts w:hint="default" w:ascii="Times New Roman" w:hAnsi="Times New Roman" w:cs="Times New Roman"/>
          <w:vertAlign w:val="subscript"/>
        </w:rPr>
        <w:t>ij</w:t>
      </w:r>
      <w:r>
        <w:rPr>
          <w:rFonts w:hint="eastAsia" w:ascii="Times New Roman" w:hAnsi="Times New Roman" w:cs="Times New Roman"/>
          <w:vertAlign w:val="subscript"/>
          <w:lang w:val="en-US" w:eastAsia="zh-CN"/>
        </w:rPr>
        <w:t xml:space="preserve">              </w:t>
      </w:r>
      <w:r>
        <w:rPr>
          <w:rFonts w:hint="default" w:ascii="Times New Roman" w:hAnsi="Times New Roman" w:cs="Times New Roman"/>
        </w:rPr>
        <w:t>HDI=1-（I</w:t>
      </w:r>
      <w:r>
        <w:rPr>
          <w:rFonts w:hint="default" w:ascii="Times New Roman" w:hAnsi="Times New Roman" w:cs="Times New Roman"/>
          <w:vertAlign w:val="subscript"/>
        </w:rPr>
        <w:t>1j</w:t>
      </w:r>
      <w:r>
        <w:rPr>
          <w:rFonts w:hint="default" w:ascii="Times New Roman" w:hAnsi="Times New Roman" w:cs="Times New Roman"/>
        </w:rPr>
        <w:t>+I</w:t>
      </w:r>
      <w:r>
        <w:rPr>
          <w:rFonts w:hint="default" w:ascii="Times New Roman" w:hAnsi="Times New Roman" w:cs="Times New Roman"/>
          <w:vertAlign w:val="subscript"/>
        </w:rPr>
        <w:t>2j</w:t>
      </w:r>
      <w:r>
        <w:rPr>
          <w:rFonts w:hint="default" w:ascii="Times New Roman" w:hAnsi="Times New Roman" w:cs="Times New Roman"/>
        </w:rPr>
        <w:t>+I</w:t>
      </w:r>
      <w:r>
        <w:rPr>
          <w:rFonts w:hint="default" w:ascii="Times New Roman" w:hAnsi="Times New Roman" w:cs="Times New Roman"/>
          <w:vertAlign w:val="subscript"/>
        </w:rPr>
        <w:t>3j</w:t>
      </w:r>
      <w:r>
        <w:rPr>
          <w:rFonts w:hint="default" w:ascii="Times New Roman" w:hAnsi="Times New Roman" w:cs="Times New Roma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15.生活质量指数：用来反映一个国家或地区人民的生活质量或发展水平，弥补国民生产总值指标的不足。PQLI=（S+Y+C）/3，其中：S——成人识字率；Y——婴儿死亡率；C——出生时平均预期寿命。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16.生育惯性：一般生育率反映了这一代育龄妇女的生育强度,育龄妇女比重则反映了上一代人的生育强度,它们共同制约着当前的出生人口状况。可见，任何一个时期的人口再生产，都对二三十年以后的人口生育态度发生影响。这种影响就是通常所说的</w:t>
      </w:r>
      <w:r>
        <w:rPr>
          <w:rFonts w:hint="eastAsia" w:ascii="宋体" w:hAnsi="宋体" w:eastAsia="宋体" w:cs="宋体"/>
        </w:rPr>
        <w:t>“人口惯性”或“生育惯性”</w:t>
      </w:r>
      <w:r>
        <w:rPr>
          <w:rFonts w:hint="default" w:ascii="Times New Roman" w:hAnsi="Times New Roman" w:cs="Times New Roma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17.城镇聚集地区：指具有城镇居住密度且相互连接的地区，不考虑城镇的行政界线。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18.大都市区：既包括具有城镇居住密度且相互连接的地区，也包括其外围未达到城镇居住密度，但在城市的直接影响之下的地区。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19.年龄别死亡率：一个地区一年中某一年龄（组）的死亡人数同该年龄（组）平均人口数的比率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20.常住人口：指居住在本乡镇街道，且户口在本乡镇街道或户口待定的人；居住在本乡镇街道，且离开户口登记地所在的乡镇街道半年以上的人；户口在本乡镇街道，且外出不满半年或在境外工作学习的人。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二、简答题题库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1.分析出生人口的指标有哪些？请写出相应的公式。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（1）人口（粗）出生率(CBR）：一个地区一年中活产婴儿数同平均人口数的比率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（2）一般生育率(GFR)：一个地区一年中活产婴儿数同育龄妇女平均人数的比率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（3）年龄别生育率(ASFR)：一个地区一年中某一年龄或年龄组妇女的活产婴儿数同该年龄或年龄组育龄妇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女平均人数的比率</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总和生育率（TFR)：表明如果一群妇女按照一组特定的年龄组别生育率度过整个育龄期（15-49岁）并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100" w:right="0" w:right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且在整个育龄期内无一死亡，那么平均每名（或每千名）妇女将有可能生育的子女数，就是总和生育</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100" w:right="0" w:right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2.分析死亡人口的指标有哪些？请写出相应的公式。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（1）人口（粗）死亡率(CDR）：一个地区一年中死亡人数同平均人口数的比率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（2）年龄别死亡率(ASDR)：一个地区一年中某一年龄（组）的死亡人数同该年龄（组）平均人口数的比率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 xml:space="preserve">（3）婴儿死亡率（IMR)：为一个时期内不满周岁的婴儿死亡率数同全部活产婴儿数的比率。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（4）平均预期寿命(E)：根据年龄别死亡率计算出来的假定一批人的平均死亡年龄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3.人口再生产类型划分的决定因素有哪些？简述不同人口再生产类型的特点及代表性国家。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人口再生产类型划分的决定因素：出生率、死亡率和自然增长率.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（1）原始型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特点：1. 出生率和死亡率均可达到35 -50 ；2. 自然增长率极低；3. 人口增长缓慢。 代表国家：不少发展中国家的个别地区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（2）年轻型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特点：1. 死亡率下降，出生率持续偏高；2. 自然增长率15 -35 ；3. 人口增长迅速。 代表国家：尼日尔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（3）成年型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特点：1. 较低的出生率、低死亡率、较低的自然增长率；2. 自然增长率5 －15 ；3. 年龄结构逐步向老年型过度。代表国家：中国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（4）衰老型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eastAsia" w:ascii="Times New Roman" w:hAnsi="Times New Roman" w:cs="Times New Roman"/>
          <w:lang w:eastAsia="zh-CN"/>
        </w:rPr>
      </w:pPr>
      <w:r>
        <w:rPr>
          <w:rFonts w:hint="eastAsia" w:ascii="Times New Roman" w:hAnsi="Times New Roman" w:cs="Times New Roman"/>
          <w:lang w:val="en-US" w:eastAsia="zh-CN"/>
        </w:rPr>
        <w:t xml:space="preserve">  </w:t>
      </w:r>
      <w:r>
        <w:rPr>
          <w:rFonts w:hint="default" w:ascii="Times New Roman" w:hAnsi="Times New Roman" w:cs="Times New Roman"/>
        </w:rPr>
        <w:t>特点：1. 出生率降至最低水平；2. 死亡率由低谷回升；3. 自然增长率趋近于零，甚至负增长</w:t>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代表国家：拉托维亚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4.简述布莱克的人口转变理论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布莱克融合了兰德里和诺特斯坦的观点，提出了人口转变的五阶段模式：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（1）高位静止阶段：出生率基本被死亡率抵消，人口增长极为缓慢；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（2）早期扩张阶段：死亡率优先于出生率下降，人口增长逐渐加速；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（3）后期扩张阶段：在死亡率继续下降的同时，出生率也开始下降，人口增长趋势放缓；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（4）低位静止阶段：出生率和死亡率均降至低水平，人口出现零增长；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（5）减退阶段：出生率极低，死亡率因人口老龄化而回升，人口出现负增长.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5.比较西欧、日本、中国和印度人口转变的特点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（1）西北欧模式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所处阶段：处于低位静止——绝对衰减阶段。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特点：伴随着社会经济发展的自发过程，转变过程历程时间长。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分布地区：大部分发达国家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（2）日本模式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处于低位静止阶段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采取了强有力的人为干预措施，人口转变速度快，势头猛，老龄化</w:t>
      </w:r>
      <w:r>
        <w:rPr>
          <w:rFonts w:hint="default" w:ascii="Times New Roman" w:hAnsi="Times New Roman" w:cs="Times New Roman"/>
          <w:lang w:val="en-US" w:eastAsia="zh-CN"/>
        </w:rPr>
        <w:t>压力</w:t>
      </w:r>
      <w:r>
        <w:rPr>
          <w:rFonts w:hint="default" w:ascii="Times New Roman" w:hAnsi="Times New Roman" w:cs="Times New Roman"/>
        </w:rPr>
        <w:t>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（3）中国模式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处于后期扩张阶段——低位静止阶段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经济文化发展水平较低，生育控制因素作用更强，各地差异明显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（4）印度模式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处于高位静止阶段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特点：经济文化发展水平低，政府控制因素较弱，人口转变速度滞后，在不少发展中国家具有代表性。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6.简述中国人口再生产类型的转变特点及其特殊性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一、转变特点：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（1）人为推动作用大，政府推行的计划生育起到决定作用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（2）速度快、周期短，中国用50年的时间走过了发达国家150年的才走完的路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二、特殊性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（1）并非经济发展带来的自然转变；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（2）转变速度快；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（3）人口转变超前于生产力的发展；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（4）促成人口转变的主要因素是上层建筑，社会经济只是次要因素。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7.分析人口年龄构成的主要指标有哪些？请写出相应的公式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(1)少年儿童比重：是指15岁以下人口占其总人口的比重；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(2)老年人口比重：是指65岁和65岁以上人口占其总人口的比重；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(3)老少比(老化指数)：是指某一地域的一定时点上65岁以上人口对15岁以下人口之比；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(4)抚养比（抚养系数）：少儿人口或老年人口与劳动年龄人口之比；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总抚养比＝少儿抚养比＋老年抚养比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5</w:t>
      </w:r>
      <w:r>
        <w:rPr>
          <w:rFonts w:hint="default" w:ascii="Times New Roman" w:hAnsi="Times New Roman" w:cs="Times New Roman"/>
        </w:rPr>
        <w:t>)年龄中位数：从零岁起累计到等于总人口半数的年龄点；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6</w:t>
      </w:r>
      <w:r>
        <w:rPr>
          <w:rFonts w:hint="default" w:ascii="Times New Roman" w:hAnsi="Times New Roman" w:cs="Times New Roman"/>
        </w:rPr>
        <w:t>)人口年龄金字塔：人口年龄结构通常用人口金字塔来反映。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8.简述人口地域分布的一般规律和趋向性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人口地域分布的一般的特征主要表现为:人口分布稠密区和稀疏区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（1）北半球中低纬度地区人口分布较稠密，主要集中于东亚、南亚、西欧、美国东北部；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（2）沿海地区人口分布较稠密；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（3）极端干旱的沙漠地区、过于潮湿的雨林地区、空气稀薄的高原山区、终年严寒的高纬地区则人口稀少；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（4）人口分布有明显的中低纬指向/近海岸指向和平原</w:t>
      </w:r>
      <w:r>
        <w:rPr>
          <w:rFonts w:hint="default" w:ascii="Times New Roman" w:hAnsi="Times New Roman" w:cs="Times New Roman"/>
          <w:lang w:eastAsia="zh-CN"/>
        </w:rPr>
        <w:t>指</w:t>
      </w:r>
      <w:r>
        <w:rPr>
          <w:rFonts w:hint="default" w:ascii="Times New Roman" w:hAnsi="Times New Roman" w:cs="Times New Roman"/>
        </w:rPr>
        <w:t>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9.简述发展中国家城镇化的新形式与新特点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发展中国家城镇化的新特点：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1、城乡界限淡化。乡村高人口密度，交通条件方便，乡村非农活动发达。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2、城镇化出现新形式。亚洲特大城市周围城乡特点兼备的城乡融合区出现、扩展大都市区或超大城市地区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超越城市行政界线的发展、出现乡村都市区、我国沿海出现就地城镇化、循环迁移。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10.简述世界人口城镇化对中国的启示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（1）城镇化的必然性：总的趋势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（2）不同国家个案间的对比：注意城镇和城镇人口数据的内涵和可比性问题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（3）城市化道路的多样性</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时代特征的变化与发达国家与发展中国家的区别</w:t>
      </w:r>
      <w:r>
        <w:rPr>
          <w:rFonts w:hint="eastAsia" w:ascii="Times New Roman" w:hAnsi="Times New Roman" w:cs="Times New Roman"/>
          <w:lang w:eastAsia="zh-CN"/>
        </w:rPr>
        <w:t>——</w:t>
      </w:r>
      <w:r>
        <w:rPr>
          <w:rFonts w:hint="default" w:ascii="Times New Roman" w:hAnsi="Times New Roman" w:cs="Times New Roman"/>
        </w:rPr>
        <w:t>城乡界线的模糊：用城市度或乡村度衡量城镇化</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中国城镇化中的人口规模因素：大城市的巨大规模和乡村地区的高人口密度</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对就地城市化和流动人口的引导和规划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（4）正确认识城镇化与工业化和经济发展之间的关系</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发达国家城镇化与经济发展间的协调关系与发展中国家的过度城市化问题</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城镇化早期以经济发展对城镇化的促进作用为主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（5）正确认识大城市的作用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过度城市化与大城市病（贫民窟、城市内部的两极分化）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11.简述当今中国面临的人口问题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1、中国陷入“超低生育率”陷阱</w:t>
      </w:r>
      <w:r>
        <w:rPr>
          <w:rFonts w:hint="eastAsia" w:ascii="Times New Roman" w:hAnsi="Times New Roman" w:cs="Times New Roman"/>
          <w:lang w:val="en-US" w:eastAsia="zh-CN"/>
        </w:rPr>
        <w:t xml:space="preserve">    </w:t>
      </w:r>
      <w:r>
        <w:rPr>
          <w:rFonts w:hint="default" w:ascii="Times New Roman" w:hAnsi="Times New Roman" w:cs="Times New Roman"/>
        </w:rPr>
        <w:t>2、“空巢”现象冲击传统家庭模式</w:t>
      </w:r>
      <w:r>
        <w:rPr>
          <w:rFonts w:hint="eastAsia" w:ascii="Times New Roman" w:hAnsi="Times New Roman" w:cs="Times New Roman"/>
          <w:lang w:val="en-US" w:eastAsia="zh-CN"/>
        </w:rPr>
        <w:t xml:space="preserve">    </w:t>
      </w:r>
      <w:r>
        <w:rPr>
          <w:rFonts w:hint="default" w:ascii="Times New Roman" w:hAnsi="Times New Roman" w:cs="Times New Roman"/>
        </w:rPr>
        <w:t>3、中国社会老化的包袱越来越沉重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4、中国很多地方进入严重少子化时代</w:t>
      </w:r>
      <w:r>
        <w:rPr>
          <w:rFonts w:hint="eastAsia" w:ascii="Times New Roman" w:hAnsi="Times New Roman" w:cs="Times New Roman"/>
          <w:lang w:val="en-US" w:eastAsia="zh-CN"/>
        </w:rPr>
        <w:t xml:space="preserve">   </w:t>
      </w:r>
      <w:r>
        <w:rPr>
          <w:rFonts w:hint="default" w:ascii="Times New Roman" w:hAnsi="Times New Roman" w:cs="Times New Roman"/>
        </w:rPr>
        <w:t>5、“男女比例失调”埋下隐患</w:t>
      </w:r>
      <w:r>
        <w:rPr>
          <w:rFonts w:hint="eastAsia" w:ascii="Times New Roman" w:hAnsi="Times New Roman" w:cs="Times New Roman"/>
          <w:lang w:val="en-US" w:eastAsia="zh-CN"/>
        </w:rPr>
        <w:t xml:space="preserve">   </w:t>
      </w:r>
      <w:r>
        <w:rPr>
          <w:rFonts w:hint="default" w:ascii="Times New Roman" w:hAnsi="Times New Roman" w:cs="Times New Roman"/>
        </w:rPr>
        <w:t>6、人口素质和劳动生产率亟待提高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7、流动人口面临市民待遇和人口融合问题</w:t>
      </w:r>
      <w:r>
        <w:rPr>
          <w:rFonts w:hint="eastAsia" w:ascii="Times New Roman" w:hAnsi="Times New Roman" w:cs="Times New Roman"/>
          <w:lang w:val="en-US" w:eastAsia="zh-CN"/>
        </w:rPr>
        <w:t xml:space="preserve">    </w:t>
      </w:r>
      <w:r>
        <w:rPr>
          <w:rFonts w:hint="default" w:ascii="Times New Roman" w:hAnsi="Times New Roman" w:cs="Times New Roman"/>
        </w:rPr>
        <w:t>8、“户籍捆绑福利”导致社会不公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9、流动人口子女受教育被歧视</w:t>
      </w:r>
      <w:r>
        <w:rPr>
          <w:rFonts w:hint="eastAsia" w:ascii="Times New Roman" w:hAnsi="Times New Roman" w:cs="Times New Roman"/>
          <w:lang w:val="en-US" w:eastAsia="zh-CN"/>
        </w:rPr>
        <w:t xml:space="preserve">    </w:t>
      </w:r>
      <w:r>
        <w:rPr>
          <w:rFonts w:hint="default" w:ascii="Times New Roman" w:hAnsi="Times New Roman" w:cs="Times New Roman"/>
        </w:rPr>
        <w:t>10、中国养老服务体系和社保体系滞后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12.论述中国人口迁移流动的现状及未来可能发生的变动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一、中国人口迁移流动的现状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eastAsia" w:ascii="Times New Roman" w:hAnsi="Times New Roman" w:cs="Times New Roman"/>
          <w:lang w:val="en-US" w:eastAsia="zh-CN"/>
        </w:rPr>
      </w:pPr>
      <w:r>
        <w:rPr>
          <w:rFonts w:hint="default" w:ascii="Times New Roman" w:hAnsi="Times New Roman" w:cs="Times New Roman"/>
        </w:rPr>
        <w:t>（1）规模不断增加</w:t>
      </w:r>
      <w:r>
        <w:rPr>
          <w:rFonts w:hint="eastAsia"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（2）流向特征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①从农村流向城市</w:t>
      </w:r>
      <w:r>
        <w:rPr>
          <w:rFonts w:hint="eastAsia" w:ascii="Times New Roman" w:hAnsi="Times New Roman" w:cs="Times New Roman"/>
          <w:lang w:val="en-US" w:eastAsia="zh-CN"/>
        </w:rPr>
        <w:t xml:space="preserve">      </w:t>
      </w:r>
      <w:r>
        <w:rPr>
          <w:rFonts w:hint="default" w:ascii="Times New Roman" w:hAnsi="Times New Roman" w:cs="Times New Roman"/>
        </w:rPr>
        <w:t>②从西部（不发达地区）向东部（发达地区）</w:t>
      </w:r>
      <w:r>
        <w:rPr>
          <w:rFonts w:hint="eastAsia" w:ascii="Times New Roman" w:hAnsi="Times New Roman" w:cs="Times New Roman"/>
          <w:lang w:val="en-US" w:eastAsia="zh-CN"/>
        </w:rPr>
        <w:t xml:space="preserve">     </w:t>
      </w:r>
      <w:r>
        <w:rPr>
          <w:rFonts w:hint="default" w:ascii="Times New Roman" w:hAnsi="Times New Roman" w:cs="Times New Roman"/>
        </w:rPr>
        <w:t>③大规模长距离人口迁移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（3）回流的趋势开始显现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二、中国人口迁移流动未来可能的发展趋势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（1）关于人口迁移规模/强度的未来动向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①省际迁移规模/强度</w:t>
      </w:r>
      <w:r>
        <w:rPr>
          <w:rFonts w:hint="eastAsia" w:ascii="Times New Roman" w:hAnsi="Times New Roman" w:cs="Times New Roman"/>
          <w:lang w:val="en-US" w:eastAsia="zh-CN"/>
        </w:rPr>
        <w:t xml:space="preserve">     </w:t>
      </w:r>
      <w:r>
        <w:rPr>
          <w:rFonts w:hint="default" w:ascii="Times New Roman" w:hAnsi="Times New Roman" w:cs="Times New Roman"/>
        </w:rPr>
        <w:t>2010年前后应该已达到峰值，之后将转向减小/趋弱。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②未来省内人口迁移将进一步主导全国人口迁移大势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（2）关于省际人口迁移区域模式的未来动向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①仍向东部地区三大都市圈的集中，但将呈弱化趋势；东部地区不同城市群内部发生变化</w:t>
      </w:r>
      <w:r>
        <w:rPr>
          <w:rFonts w:hint="eastAsia" w:ascii="Times New Roman" w:hAnsi="Times New Roman" w:cs="Times New Roman"/>
          <w:lang w:eastAsia="zh-CN"/>
        </w:rPr>
        <w:t>；</w:t>
      </w:r>
      <w:r>
        <w:rPr>
          <w:rFonts w:hint="default" w:ascii="Times New Roman" w:hAnsi="Times New Roman" w:cs="Times New Roma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②人口分流趋势开始出现，中西部地区人口流动规模将会开始逐渐攀升，但一时半会还不会出现人口流动区域模式的互转</w:t>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③随着农民工市民化的推进，将可能出现一定规模的农民工的“U”型回流，尤其是第一代农民工即将进入回流高峰期（农民工老化，40岁以上的农民工将逐渐回流）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（3）关于人口迁移和城市化发展的未来动向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①中国的迁移人口将越来越多地选择迁向中小城市，使中小城市的发展速度超越大城市。但受全球化的推动，如北京、上海等特大城市的人口入迁及特大城市的发展仍将持续。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②大城市与中小城市发展速度的此消彼长，使城市人口及城市化率仍将维持快速发展态势。预计两者的快速发展态势将持续到2020年前后，之后增速趋缓。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13.影响人口文化素质的主要因素和分布差异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人口文化素质主要受以下几个因素影响:①生发展水平；②对教育的重视程度；③城镇化和非农化水平；④性别。由此形成了人口文化素质一些基本的分布差异，主要表现为：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(1)汉族&gt;少数民族（历史原因以及生产力发展水平的影响）；</w:t>
      </w:r>
      <w:r>
        <w:rPr>
          <w:rFonts w:hint="eastAsia" w:ascii="Times New Roman" w:hAnsi="Times New Roman" w:cs="Times New Roman"/>
          <w:lang w:val="en-US" w:eastAsia="zh-CN"/>
        </w:rPr>
        <w:t xml:space="preserve">  </w:t>
      </w:r>
      <w:r>
        <w:rPr>
          <w:rFonts w:hint="default" w:ascii="Times New Roman" w:hAnsi="Times New Roman" w:cs="Times New Roman"/>
        </w:rPr>
        <w:t>(2)城镇&gt;农村（生产力发展水平的影响）；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(3)东部&gt;西部（生产力发展水平的影响）。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总态势为：(1)男性&gt;女性（传统，重男轻女的影响）；</w:t>
      </w:r>
      <w:r>
        <w:rPr>
          <w:rFonts w:hint="eastAsia" w:ascii="Times New Roman" w:hAnsi="Times New Roman" w:cs="Times New Roman"/>
          <w:lang w:val="en-US" w:eastAsia="zh-CN"/>
        </w:rPr>
        <w:t xml:space="preserve">   </w:t>
      </w:r>
      <w:r>
        <w:rPr>
          <w:rFonts w:hint="default" w:ascii="Times New Roman" w:hAnsi="Times New Roman" w:cs="Times New Roman"/>
        </w:rPr>
        <w:t>(2)青年&gt;中年&gt;老年（社会进步的表现）。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b/>
          <w:bCs/>
        </w:rPr>
        <w:t>14.简述新旧城市规模划分标准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新的城市规模划分标准以城区常住人口为统计口径，将城市划分为五类七档：</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城区常住人口50万以下的城市为小城市，</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100" w:right="0" w:right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其中：20万以上50万以下的城市为Ⅰ型小城市，20万以下的城市为Ⅱ型小城市；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 城区常住人口50万以上100万以下的城市为中等城市；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 城区常住人口 100万以上500万以下的城市为大城市，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其中</w:t>
      </w:r>
      <w:r>
        <w:rPr>
          <w:rFonts w:hint="eastAsia" w:ascii="Times New Roman" w:hAnsi="Times New Roman" w:cs="Times New Roman"/>
          <w:lang w:eastAsia="zh-CN"/>
        </w:rPr>
        <w:t>：</w:t>
      </w:r>
      <w:r>
        <w:rPr>
          <w:rFonts w:hint="default" w:ascii="Times New Roman" w:hAnsi="Times New Roman" w:cs="Times New Roman"/>
        </w:rPr>
        <w:t>300万以上500万以下的城市为Ⅰ型大城市，100万以上300万以下的城市为Ⅱ型大城市；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 城区常住人口500万以上1000万以下的城市为特大城市；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5. 城区常住人口1000万以上的城市为超大城市。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与原有城市规模划分标准相比，新标准有四点重要调整：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t>（1）城市类型由四类变为五类，增设了超大城市；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（2）将小城市和大城市分别划分为两档，细分小城市主要为满足城市规划建设的需要，细分大城市主要是实施人口分类管理的需要；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3）人口规模的上下限普遍提高。小城市人口上限由20万提高到50万，中等城市的上下限分别由20万、50万提高到50万、100万，大城市的上下限分别由50万、100万提高到100万、500万，特大城市下限由100万提高到500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rPr>
      </w:pPr>
      <w:r>
        <w:rPr>
          <w:rFonts w:hint="default" w:ascii="Times New Roman" w:hAnsi="Times New Roman" w:cs="Times New Roman"/>
        </w:rPr>
        <w:t>（4）将统计口径界定为城区常住人口。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0" w:right="0" w:rightChars="0" w:hanging="210" w:hangingChars="100"/>
        <w:jc w:val="both"/>
        <w:textAlignment w:val="auto"/>
        <w:outlineLvl w:val="9"/>
        <w:rPr>
          <w:rFonts w:hint="default" w:ascii="Times New Roman" w:hAnsi="Times New Roman" w:cs="Times New Roman"/>
          <w:b/>
          <w:bCs/>
        </w:rPr>
      </w:pPr>
      <w:r>
        <w:rPr>
          <w:rFonts w:hint="default" w:ascii="Times New Roman" w:hAnsi="Times New Roman" w:cs="Times New Roman"/>
          <w:b/>
          <w:bCs/>
        </w:rPr>
        <w:t>15.简述流动人口的统计口径变迁</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四普流动人口人口的界定：普查时现住地与户口登记地不一致且离开户口登记地所在县（市、区）一年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rPr>
        <w:t>以上人口。</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五普迁移人口的界定：1995年11月1日至2000年10月31日间常住地发生跨乡镇街道变动的人口。常驻地变动以户口迁移或离开户口所在地半年以上为标志。</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六普流动人口人口的界定：普查时现住地与户口登记地不一致且离开户口登记地所在乡（镇/街道）半年以上人口。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rPr>
      </w:pPr>
      <w:bookmarkStart w:id="0" w:name="_GoBack"/>
      <w:bookmarkEnd w:id="0"/>
    </w:p>
    <w:sectPr>
      <w:pgSz w:w="11906" w:h="16838"/>
      <w:pgMar w:top="567" w:right="1020" w:bottom="567" w:left="10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AD0F"/>
    <w:multiLevelType w:val="singleLevel"/>
    <w:tmpl w:val="585AAD0F"/>
    <w:lvl w:ilvl="0" w:tentative="0">
      <w:start w:val="13"/>
      <w:numFmt w:val="decimal"/>
      <w:suff w:val="nothing"/>
      <w:lvlText w:val="%1."/>
      <w:lvlJc w:val="left"/>
    </w:lvl>
  </w:abstractNum>
  <w:abstractNum w:abstractNumId="1">
    <w:nsid w:val="585B7FF5"/>
    <w:multiLevelType w:val="singleLevel"/>
    <w:tmpl w:val="585B7FF5"/>
    <w:lvl w:ilvl="0" w:tentative="0">
      <w:start w:val="4"/>
      <w:numFmt w:val="decimal"/>
      <w:suff w:val="nothing"/>
      <w:lvlText w:val="（%1）"/>
      <w:lvlJc w:val="left"/>
    </w:lvl>
  </w:abstractNum>
  <w:abstractNum w:abstractNumId="2">
    <w:nsid w:val="585B815A"/>
    <w:multiLevelType w:val="singleLevel"/>
    <w:tmpl w:val="585B815A"/>
    <w:lvl w:ilvl="0" w:tentative="0">
      <w:start w:val="1"/>
      <w:numFmt w:val="bullet"/>
      <w:lvlText w:val=""/>
      <w:lvlJc w:val="left"/>
      <w:pPr>
        <w:ind w:left="420" w:leftChars="0" w:hanging="420" w:firstLineChars="0"/>
      </w:pPr>
      <w:rPr>
        <w:rFonts w:hint="default" w:ascii="Wingdings" w:hAnsi="Wingdings"/>
      </w:rPr>
    </w:lvl>
  </w:abstractNum>
  <w:abstractNum w:abstractNumId="3">
    <w:nsid w:val="585B824F"/>
    <w:multiLevelType w:val="singleLevel"/>
    <w:tmpl w:val="585B824F"/>
    <w:lvl w:ilvl="0" w:tentative="0">
      <w:start w:val="1"/>
      <w:numFmt w:val="decimal"/>
      <w:suff w:val="space"/>
      <w:lvlText w:val="%1."/>
      <w:lvlJc w:val="left"/>
    </w:lvl>
  </w:abstractNum>
  <w:abstractNum w:abstractNumId="4">
    <w:nsid w:val="585B82CB"/>
    <w:multiLevelType w:val="singleLevel"/>
    <w:tmpl w:val="585B82C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B6181"/>
    <w:rsid w:val="11D849D7"/>
    <w:rsid w:val="385B61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2016-12-21T16:23:00Z</dcterms:created>
  <dc:creator>hhh</dc:creator>
  <cp:lastModifiedBy>hhh</cp:lastModifiedBy>
  <dcterms:modified xsi:type="dcterms:W3CDTF">2016-12-22T07:36:11Z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