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ascii="Arial" w:hAnsi="Arial" w:eastAsia="Arial" w:cs="Arial"/>
          <w:b w:val="0"/>
          <w:i w:val="0"/>
          <w:smallCaps w:val="0"/>
          <w:strike w:val="0"/>
          <w:color w:val="000000"/>
          <w:sz w:val="22"/>
          <w:szCs w:val="22"/>
          <w:u w:val="none"/>
          <w:shd w:val="clear" w:fill="auto"/>
          <w:vertAlign w:val="baseline"/>
        </w:rPr>
      </w:pPr>
    </w:p>
    <w:p w14:paraId="336CEC8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jc w:val="center"/>
        <w:rPr>
          <w:rFonts w:hint="eastAsia" w:ascii="黑体" w:hAnsi="黑体" w:eastAsia="黑体" w:cs="黑体"/>
          <w:b w:val="0"/>
          <w:i w:val="0"/>
          <w:smallCaps w:val="0"/>
          <w:strike w:val="0"/>
          <w:color w:val="000000"/>
          <w:sz w:val="40"/>
          <w:szCs w:val="40"/>
          <w:u w:val="none"/>
          <w:shd w:val="clear" w:fill="auto"/>
          <w:vertAlign w:val="baseline"/>
          <w:lang w:val="en-US" w:eastAsia="zh-CN"/>
        </w:rPr>
      </w:pPr>
      <w:r>
        <w:rPr>
          <w:rFonts w:hint="eastAsia" w:ascii="黑体" w:hAnsi="黑体" w:eastAsia="黑体" w:cs="黑体"/>
          <w:b w:val="0"/>
          <w:i w:val="0"/>
          <w:smallCaps w:val="0"/>
          <w:strike w:val="0"/>
          <w:color w:val="000000"/>
          <w:sz w:val="40"/>
          <w:szCs w:val="40"/>
          <w:u w:val="none"/>
          <w:shd w:val="clear" w:fill="auto"/>
          <w:vertAlign w:val="baseline"/>
          <w:lang w:val="en-US" w:eastAsia="zh-CN"/>
        </w:rPr>
        <w:t>《人文地理学》课程论文</w:t>
      </w:r>
    </w:p>
    <w:p w14:paraId="680D850A">
      <w:pPr>
        <w:pBdr>
          <w:top w:val="none" w:color="auto" w:sz="0" w:space="0"/>
          <w:left w:val="none" w:color="auto" w:sz="0" w:space="0"/>
          <w:bottom w:val="none" w:color="auto" w:sz="0" w:space="0"/>
          <w:right w:val="none" w:color="auto" w:sz="0" w:space="0"/>
          <w:between w:val="none" w:color="auto" w:sz="0" w:space="0"/>
        </w:pBdr>
        <w:shd w:val="clear" w:fill="auto"/>
        <w:snapToGrid/>
        <w:spacing w:beforeAutospacing="0" w:afterAutospacing="0" w:line="240" w:lineRule="auto"/>
        <w:ind w:left="0" w:leftChars="0" w:right="0" w:rightChars="0" w:firstLine="0" w:firstLineChars="0"/>
        <w:jc w:val="center"/>
        <w:rPr>
          <w:rFonts w:hint="eastAsia" w:ascii="黑体" w:hAnsi="黑体" w:eastAsia="黑体" w:cs="黑体"/>
          <w:b/>
          <w:i w:val="0"/>
          <w:smallCaps w:val="0"/>
          <w:strike w:val="0"/>
          <w:color w:val="auto"/>
          <w:sz w:val="32"/>
          <w:szCs w:val="40"/>
          <w:u w:val="none"/>
          <w:shd w:val="clear" w:fill="auto"/>
          <w:vertAlign w:val="baseline"/>
          <w:lang w:val="en-US" w:eastAsia="zh-CN"/>
        </w:rPr>
      </w:pPr>
    </w:p>
    <w:p w14:paraId="0EFA7A2B">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jc w:val="center"/>
        <w:rPr>
          <w:rFonts w:hint="eastAsia" w:ascii="黑体" w:hAnsi="黑体" w:eastAsia="黑体" w:cs="黑体"/>
          <w:b/>
          <w:i w:val="0"/>
          <w:color w:val="1B1C1D"/>
          <w:sz w:val="36"/>
          <w:szCs w:val="36"/>
          <w:rtl w:val="0"/>
        </w:rPr>
      </w:pPr>
      <w:r>
        <w:rPr>
          <w:rFonts w:hint="eastAsia" w:ascii="黑体" w:hAnsi="黑体" w:eastAsia="黑体" w:cs="黑体"/>
          <w:b/>
          <w:i w:val="0"/>
          <w:color w:val="1B1C1D"/>
          <w:sz w:val="36"/>
          <w:szCs w:val="36"/>
          <w:rtl w:val="0"/>
        </w:rPr>
        <w:t>工业化与乡村性的碰撞与融合</w:t>
      </w:r>
    </w:p>
    <w:p w14:paraId="00000002">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jc w:val="center"/>
        <w:rPr>
          <w:rFonts w:hint="eastAsia" w:ascii="黑体" w:hAnsi="黑体" w:eastAsia="黑体" w:cs="黑体"/>
          <w:b/>
          <w:i w:val="0"/>
          <w:color w:val="1B1C1D"/>
          <w:sz w:val="36"/>
          <w:szCs w:val="36"/>
          <w:rtl w:val="0"/>
        </w:rPr>
      </w:pPr>
      <w:r>
        <w:rPr>
          <w:rFonts w:hint="eastAsia" w:ascii="黑体" w:hAnsi="黑体" w:eastAsia="黑体" w:cs="黑体"/>
          <w:b/>
          <w:i w:val="0"/>
          <w:color w:val="1B1C1D"/>
          <w:sz w:val="36"/>
          <w:szCs w:val="36"/>
          <w:rtl w:val="0"/>
          <w:lang w:eastAsia="zh-CN"/>
        </w:rPr>
        <w:t>——</w:t>
      </w:r>
      <w:r>
        <w:rPr>
          <w:rFonts w:hint="eastAsia" w:ascii="黑体" w:hAnsi="黑体" w:eastAsia="黑体" w:cs="黑体"/>
          <w:b/>
          <w:i w:val="0"/>
          <w:color w:val="1B1C1D"/>
          <w:sz w:val="36"/>
          <w:szCs w:val="36"/>
          <w:rtl w:val="0"/>
        </w:rPr>
        <w:t>福建省福安市湾坞镇的乡村振兴路径研究</w:t>
      </w:r>
    </w:p>
    <w:p w14:paraId="00000003">
      <w:pPr>
        <w:pBdr>
          <w:top w:val="none" w:color="auto" w:sz="0" w:space="0"/>
          <w:left w:val="none" w:color="auto" w:sz="0" w:space="0"/>
          <w:bottom w:val="none" w:color="auto" w:sz="0" w:space="0"/>
          <w:right w:val="none" w:color="auto" w:sz="0" w:space="0"/>
          <w:between w:val="none" w:color="auto" w:sz="0" w:space="0"/>
        </w:pBdr>
        <w:shd w:val="clear" w:fill="auto"/>
        <w:snapToGrid/>
        <w:spacing w:beforeAutospacing="0" w:afterAutospacing="0" w:line="336" w:lineRule="auto"/>
        <w:ind w:left="0" w:leftChars="0" w:right="0" w:rightChars="0" w:firstLine="0" w:firstLineChars="0"/>
        <w:jc w:val="center"/>
        <w:rPr>
          <w:rFonts w:hint="default" w:ascii="Times New Roman" w:hAnsi="黑体" w:eastAsia="宋体" w:cs="黑体"/>
          <w:b w:val="0"/>
          <w:bCs/>
          <w:i w:val="0"/>
          <w:color w:val="auto"/>
          <w:sz w:val="32"/>
          <w:szCs w:val="32"/>
          <w:lang w:val="en-US" w:eastAsia="zh-CN"/>
        </w:rPr>
      </w:pPr>
      <w:r>
        <w:rPr>
          <w:rFonts w:hint="eastAsia" w:ascii="Times New Roman" w:hAnsi="黑体" w:eastAsia="宋体" w:cs="黑体"/>
          <w:b w:val="0"/>
          <w:bCs/>
          <w:i w:val="0"/>
          <w:color w:val="auto"/>
          <w:sz w:val="32"/>
          <w:szCs w:val="32"/>
          <w:lang w:val="en-US" w:eastAsia="zh-CN"/>
        </w:rPr>
        <w:t>地信班 109092023XXX 许愿</w:t>
      </w:r>
      <w:bookmarkStart w:id="0" w:name="_GoBack"/>
      <w:bookmarkEnd w:id="0"/>
    </w:p>
    <w:p w14:paraId="68D5ACC2">
      <w:pPr>
        <w:pBdr>
          <w:top w:val="none" w:color="auto" w:sz="0" w:space="0"/>
          <w:left w:val="none" w:color="auto" w:sz="0" w:space="0"/>
          <w:bottom w:val="none" w:color="auto" w:sz="0" w:space="0"/>
          <w:right w:val="none" w:color="auto" w:sz="0" w:space="0"/>
          <w:between w:val="none" w:color="auto" w:sz="0" w:space="0"/>
        </w:pBdr>
        <w:shd w:val="clear" w:fill="auto"/>
        <w:snapToGrid/>
        <w:spacing w:beforeAutospacing="0" w:afterAutospacing="0" w:line="336" w:lineRule="auto"/>
        <w:ind w:left="0" w:leftChars="0" w:right="0" w:rightChars="0" w:firstLine="0" w:firstLineChars="0"/>
        <w:jc w:val="center"/>
        <w:rPr>
          <w:rFonts w:hint="eastAsia" w:ascii="Times New Roman" w:hAnsi="黑体" w:eastAsia="宋体" w:cs="黑体"/>
          <w:b w:val="0"/>
          <w:bCs/>
          <w:i w:val="0"/>
          <w:color w:val="auto"/>
          <w:sz w:val="32"/>
          <w:szCs w:val="32"/>
          <w:lang w:val="en-US" w:eastAsia="zh-CN"/>
        </w:rPr>
      </w:pPr>
    </w:p>
    <w:p w14:paraId="2CA75A01">
      <w:pPr>
        <w:pBdr>
          <w:top w:val="none" w:color="auto" w:sz="0" w:space="0"/>
          <w:left w:val="none" w:color="auto" w:sz="0" w:space="0"/>
          <w:bottom w:val="none" w:color="auto" w:sz="0" w:space="0"/>
          <w:right w:val="none" w:color="auto" w:sz="0" w:space="0"/>
          <w:between w:val="none" w:color="auto" w:sz="0" w:space="0"/>
        </w:pBdr>
        <w:shd w:val="clear" w:fill="auto"/>
        <w:snapToGrid/>
        <w:spacing w:beforeAutospacing="0" w:afterAutospacing="0" w:line="336" w:lineRule="auto"/>
        <w:ind w:left="0" w:leftChars="0" w:right="0" w:rightChars="0" w:firstLine="0" w:firstLineChars="0"/>
        <w:jc w:val="center"/>
        <w:rPr>
          <w:rFonts w:hint="eastAsia" w:ascii="Times New Roman" w:hAnsi="黑体" w:eastAsia="宋体" w:cs="黑体"/>
          <w:b w:val="0"/>
          <w:bCs/>
          <w:i w:val="0"/>
          <w:color w:val="auto"/>
          <w:sz w:val="32"/>
          <w:szCs w:val="32"/>
          <w:lang w:val="en-US" w:eastAsia="zh-CN"/>
        </w:rPr>
      </w:pPr>
    </w:p>
    <w:p w14:paraId="49B01EF5">
      <w:pPr>
        <w:pBdr>
          <w:top w:val="none" w:color="auto" w:sz="0" w:space="0"/>
          <w:left w:val="none" w:color="auto" w:sz="0" w:space="0"/>
          <w:bottom w:val="none" w:color="auto" w:sz="0" w:space="0"/>
          <w:right w:val="none" w:color="auto" w:sz="0" w:space="0"/>
          <w:between w:val="none" w:color="auto" w:sz="0" w:space="0"/>
        </w:pBdr>
        <w:shd w:val="clear" w:fill="auto"/>
        <w:snapToGrid/>
        <w:spacing w:beforeAutospacing="0" w:afterAutospacing="0" w:line="240" w:lineRule="auto"/>
        <w:ind w:left="0" w:leftChars="0" w:right="0" w:rightChars="0" w:firstLine="0" w:firstLineChars="0"/>
        <w:jc w:val="both"/>
        <w:rPr>
          <w:rFonts w:hint="eastAsia" w:ascii="Times New Roman" w:hAnsi="黑体" w:eastAsia="宋体" w:cs="黑体"/>
          <w:b/>
          <w:i w:val="0"/>
          <w:color w:val="auto"/>
          <w:sz w:val="24"/>
          <w:szCs w:val="24"/>
          <w:rtl w:val="0"/>
        </w:rPr>
      </w:pPr>
      <w:r>
        <w:rPr>
          <w:rFonts w:hint="eastAsia" w:ascii="Times New Roman" w:hAnsi="黑体" w:eastAsia="宋体" w:cs="黑体"/>
          <w:b/>
          <w:i w:val="0"/>
          <w:color w:val="auto"/>
          <w:sz w:val="24"/>
          <w:szCs w:val="24"/>
          <w:rtl w:val="0"/>
        </w:rPr>
        <w:t>摘要：</w:t>
      </w:r>
    </w:p>
    <w:p w14:paraId="00000004">
      <w:pPr>
        <w:pBdr>
          <w:top w:val="none" w:color="auto" w:sz="0" w:space="0"/>
          <w:left w:val="none" w:color="auto" w:sz="0" w:space="0"/>
          <w:bottom w:val="none" w:color="auto" w:sz="0" w:space="0"/>
          <w:right w:val="none" w:color="auto" w:sz="0" w:space="0"/>
          <w:between w:val="none" w:color="auto" w:sz="0" w:space="0"/>
        </w:pBdr>
        <w:shd w:val="clear" w:fill="auto"/>
        <w:snapToGrid/>
        <w:spacing w:beforeAutospacing="0" w:afterAutospacing="0" w:line="336" w:lineRule="auto"/>
        <w:ind w:left="0" w:leftChars="0" w:right="0" w:rightChars="0" w:firstLine="480" w:firstLineChars="200"/>
        <w:jc w:val="both"/>
        <w:rPr>
          <w:rFonts w:hint="eastAsia" w:ascii="Times New Roman" w:hAnsi="Times New Roman" w:eastAsia="宋体" w:cs="宋体"/>
          <w:kern w:val="2"/>
          <w:sz w:val="24"/>
          <w:szCs w:val="22"/>
          <w:lang w:val="en-US" w:eastAsia="zh-CN" w:bidi="ar-SA"/>
        </w:rPr>
      </w:pPr>
      <w:r>
        <w:rPr>
          <w:rFonts w:hint="eastAsia" w:ascii="Times New Roman" w:hAnsi="Times New Roman" w:eastAsia="宋体" w:cs="宋体"/>
          <w:b w:val="0"/>
          <w:i w:val="0"/>
          <w:kern w:val="2"/>
          <w:sz w:val="24"/>
          <w:szCs w:val="22"/>
          <w:rtl w:val="0"/>
          <w:lang w:val="en-US" w:eastAsia="zh-CN" w:bidi="ar-SA"/>
        </w:rPr>
        <w:t>本文以福建省福安市湾坞镇为例，探讨在重工业主导的区域背景下国家乡村振兴战略的实施路径与模式。湾坞镇的发展呈现出独特的二元结构：千亿不锈钢产业集群与传统的滨海乡村社会并存。这种格局在推动经济高速增长的同时，也引发了人地关系领域的尖锐矛盾。本文认为，湾坞镇的振兴之路，关键在于超越工业与乡村的简单并存，实现二者的深度融合与共生发展。通过对产业、人才、文化、生态、组织“五大振兴”维度的系统分析，本文提出了一系列旨在促进融合的发展对策，以期为探索工业化地区“产、城、村”一体化发展的可持续模式提供参考。</w:t>
      </w:r>
    </w:p>
    <w:p w14:paraId="00000005">
      <w:pPr>
        <w:pBdr>
          <w:top w:val="none" w:color="auto" w:sz="0" w:space="0"/>
          <w:left w:val="none" w:color="auto" w:sz="0" w:space="0"/>
          <w:bottom w:val="none" w:color="auto" w:sz="0" w:space="0"/>
          <w:right w:val="none" w:color="auto" w:sz="0" w:space="0"/>
          <w:between w:val="none" w:color="auto" w:sz="0" w:space="0"/>
        </w:pBdr>
        <w:shd w:val="clear" w:fill="auto"/>
        <w:snapToGrid/>
        <w:spacing w:beforeAutospacing="0" w:afterAutospacing="0" w:line="240" w:lineRule="auto"/>
        <w:ind w:left="0" w:leftChars="0" w:right="0" w:rightChars="0" w:firstLine="0" w:firstLineChars="0"/>
        <w:jc w:val="both"/>
        <w:rPr>
          <w:rFonts w:ascii="Saturday Sans Regular" w:hAnsi="Saturday Sans Regular" w:eastAsia="Saturday Sans Regular" w:cs="Saturday Sans Regular"/>
          <w:i w:val="0"/>
          <w:color w:val="auto"/>
          <w:sz w:val="24"/>
          <w:szCs w:val="24"/>
        </w:rPr>
      </w:pPr>
      <w:r>
        <w:rPr>
          <w:rFonts w:hint="eastAsia" w:ascii="Times New Roman" w:hAnsi="黑体" w:eastAsia="宋体" w:cs="黑体"/>
          <w:b/>
          <w:i w:val="0"/>
          <w:color w:val="auto"/>
          <w:sz w:val="24"/>
          <w:szCs w:val="24"/>
          <w:rtl w:val="0"/>
        </w:rPr>
        <w:t>关键词：</w:t>
      </w:r>
      <w:r>
        <w:rPr>
          <w:rFonts w:hint="eastAsia" w:ascii="Times New Roman" w:eastAsia="宋体" w:hAnsiTheme="minorEastAsia" w:cstheme="minorEastAsia"/>
          <w:b w:val="0"/>
          <w:i w:val="0"/>
          <w:color w:val="auto"/>
          <w:sz w:val="24"/>
          <w:szCs w:val="22"/>
          <w:rtl w:val="0"/>
        </w:rPr>
        <w:t>乡村振兴</w:t>
      </w:r>
      <w:r>
        <w:rPr>
          <w:rFonts w:hint="eastAsia" w:ascii="Times New Roman" w:eastAsia="宋体" w:hAnsiTheme="minorEastAsia" w:cstheme="minorEastAsia"/>
          <w:b w:val="0"/>
          <w:i w:val="0"/>
          <w:color w:val="auto"/>
          <w:sz w:val="24"/>
          <w:szCs w:val="22"/>
          <w:rtl w:val="0"/>
          <w:lang w:eastAsia="zh-CN"/>
        </w:rPr>
        <w:t>、</w:t>
      </w:r>
      <w:r>
        <w:rPr>
          <w:rFonts w:hint="eastAsia" w:ascii="Times New Roman" w:eastAsia="宋体" w:hAnsiTheme="minorEastAsia" w:cstheme="minorEastAsia"/>
          <w:b w:val="0"/>
          <w:i w:val="0"/>
          <w:color w:val="auto"/>
          <w:sz w:val="24"/>
          <w:szCs w:val="22"/>
          <w:rtl w:val="0"/>
        </w:rPr>
        <w:t>人地关系</w:t>
      </w:r>
      <w:r>
        <w:rPr>
          <w:rFonts w:hint="eastAsia" w:ascii="Times New Roman" w:eastAsia="宋体" w:hAnsiTheme="minorEastAsia" w:cstheme="minorEastAsia"/>
          <w:b w:val="0"/>
          <w:i w:val="0"/>
          <w:color w:val="auto"/>
          <w:sz w:val="24"/>
          <w:szCs w:val="22"/>
          <w:rtl w:val="0"/>
          <w:lang w:eastAsia="zh-CN"/>
        </w:rPr>
        <w:t>、</w:t>
      </w:r>
      <w:r>
        <w:rPr>
          <w:rFonts w:hint="eastAsia" w:ascii="Times New Roman" w:eastAsia="宋体" w:hAnsiTheme="minorEastAsia" w:cstheme="minorEastAsia"/>
          <w:b w:val="0"/>
          <w:i w:val="0"/>
          <w:color w:val="auto"/>
          <w:sz w:val="24"/>
          <w:szCs w:val="22"/>
          <w:rtl w:val="0"/>
        </w:rPr>
        <w:t>产城融合</w:t>
      </w:r>
      <w:r>
        <w:rPr>
          <w:rFonts w:hint="eastAsia" w:ascii="Times New Roman" w:eastAsia="宋体" w:hAnsiTheme="minorEastAsia" w:cstheme="minorEastAsia"/>
          <w:b w:val="0"/>
          <w:i w:val="0"/>
          <w:color w:val="auto"/>
          <w:sz w:val="24"/>
          <w:szCs w:val="22"/>
          <w:rtl w:val="0"/>
          <w:lang w:eastAsia="zh-CN"/>
        </w:rPr>
        <w:t>、</w:t>
      </w:r>
      <w:r>
        <w:rPr>
          <w:rFonts w:hint="eastAsia" w:ascii="Times New Roman" w:eastAsia="宋体" w:hAnsiTheme="minorEastAsia" w:cstheme="minorEastAsia"/>
          <w:b w:val="0"/>
          <w:i w:val="0"/>
          <w:color w:val="auto"/>
          <w:sz w:val="24"/>
          <w:szCs w:val="22"/>
          <w:rtl w:val="0"/>
        </w:rPr>
        <w:t>可持续发展</w:t>
      </w:r>
    </w:p>
    <w:p w14:paraId="60179E0B">
      <w:pPr>
        <w:pStyle w:val="16"/>
        <w:snapToGrid/>
        <w:spacing w:before="340" w:beforeAutospacing="0" w:after="330" w:afterAutospacing="0" w:line="576" w:lineRule="auto"/>
        <w:ind w:left="0" w:leftChars="0" w:right="0" w:rightChars="0" w:firstLine="0" w:firstLineChars="0"/>
        <w:jc w:val="center"/>
        <w:outlineLvl w:val="0"/>
        <w:rPr>
          <w:rFonts w:ascii="Times New Roman" w:hAnsi="宋体" w:eastAsia="黑体" w:cs="宋体"/>
          <w:b/>
          <w:sz w:val="28"/>
        </w:rPr>
      </w:pPr>
      <w:r>
        <w:rPr>
          <w:rFonts w:ascii="Times New Roman" w:eastAsia="黑体" w:hAnsiTheme="minorEastAsia"/>
          <w:b/>
          <w:bCs/>
          <w:sz w:val="28"/>
          <w:szCs w:val="28"/>
        </w:rPr>
        <w:t>1</w:t>
      </w:r>
      <w:r>
        <w:rPr>
          <w:rFonts w:ascii="Times New Roman" w:eastAsia="黑体" w:cs="宋体" w:hAnsiTheme="minorEastAsia"/>
          <w:b/>
          <w:sz w:val="28"/>
          <w:szCs w:val="28"/>
        </w:rPr>
        <w:t xml:space="preserve"> </w:t>
      </w:r>
      <w:r>
        <w:rPr>
          <w:rFonts w:hint="eastAsia" w:ascii="Times New Roman" w:eastAsia="黑体" w:cs="宋体" w:hAnsiTheme="minorEastAsia"/>
          <w:b/>
          <w:sz w:val="28"/>
          <w:szCs w:val="28"/>
        </w:rPr>
        <w:t xml:space="preserve"> 引言</w:t>
      </w:r>
    </w:p>
    <w:p w14:paraId="516AE2C6">
      <w:pPr>
        <w:pStyle w:val="17"/>
        <w:snapToGrid/>
        <w:spacing w:before="260" w:beforeAutospacing="0" w:after="260" w:afterAutospacing="0" w:line="412" w:lineRule="auto"/>
        <w:ind w:left="576" w:leftChars="0" w:right="0" w:rightChars="0" w:hanging="576" w:firstLineChars="0"/>
        <w:jc w:val="both"/>
        <w:outlineLvl w:val="1"/>
        <w:rPr>
          <w:rFonts w:hint="default" w:ascii="Arial" w:eastAsia="黑体"/>
          <w:b/>
          <w:sz w:val="24"/>
          <w:lang w:val="en-US"/>
        </w:rPr>
      </w:pPr>
      <w:r>
        <w:rPr>
          <w:rFonts w:ascii="Arial" w:eastAsia="黑体"/>
          <w:b/>
          <w:bCs/>
          <w:sz w:val="24"/>
        </w:rPr>
        <w:t>1.1</w:t>
      </w:r>
      <w:r>
        <w:rPr>
          <w:rFonts w:ascii="Arial" w:eastAsia="黑体"/>
          <w:b/>
          <w:sz w:val="24"/>
        </w:rPr>
        <w:t xml:space="preserve">  </w:t>
      </w:r>
      <w:r>
        <w:rPr>
          <w:rFonts w:hint="eastAsia" w:ascii="Arial" w:eastAsia="黑体" w:cs="黑体"/>
          <w:b/>
          <w:sz w:val="24"/>
          <w:lang w:val="en-US" w:eastAsia="zh-CN"/>
        </w:rPr>
        <w:t>探究背景及意义</w:t>
      </w:r>
    </w:p>
    <w:p w14:paraId="1F1C2FB6">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党的十九大报告中首次提出了乡村振兴战略的概念，这也标志着我国“三农”工作进入了一个新的历史阶段。作为新时代背景下破解城乡发展不平衡、农村发展不充分这一社会主要矛盾的顶层设计，乡村振兴战略的实施旨在通过“产业兴旺、生态宜居、乡风文明、治理有效、生活富裕”的总要求，逐步实现农业农村的全面现代化。</w:t>
      </w:r>
    </w:p>
    <w:p w14:paraId="000000E2">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国家在报告中反复强调“因地制宜、分类施策”的基本原则，这正凸显了基于地方性案例研究的重要性。宏观的国家战略如何在地理条件、经济结构与社会文化各异的地域单元中被实践与转化，是检验其有效性的关键。因此，深入剖析典型案例对于丰富乡村振兴的理论内涵与实践模式具有重要的学术价值与现实意义。</w:t>
      </w:r>
    </w:p>
    <w:p w14:paraId="014F4ACA">
      <w:pPr>
        <w:snapToGrid/>
        <w:spacing w:beforeAutospacing="0" w:afterAutospacing="0" w:line="336" w:lineRule="auto"/>
        <w:ind w:right="0" w:rightChars="0"/>
        <w:jc w:val="both"/>
        <w:rPr>
          <w:rFonts w:hint="eastAsia" w:ascii="Times New Roman" w:eastAsia="宋体" w:cs="方正书宋简体" w:hAnsiTheme="minorHAnsi"/>
          <w:kern w:val="2"/>
          <w:sz w:val="24"/>
          <w:lang w:val="en-US" w:eastAsia="zh-CN" w:bidi="ar-SA"/>
        </w:rPr>
      </w:pPr>
    </w:p>
    <w:p w14:paraId="4BA90383">
      <w:pPr>
        <w:pStyle w:val="17"/>
        <w:snapToGrid/>
        <w:spacing w:before="260" w:beforeAutospacing="0" w:after="260" w:afterAutospacing="0" w:line="412" w:lineRule="auto"/>
        <w:ind w:left="576" w:leftChars="0" w:right="0" w:rightChars="0" w:hanging="576" w:firstLineChars="0"/>
        <w:jc w:val="both"/>
        <w:outlineLvl w:val="1"/>
        <w:rPr>
          <w:rFonts w:hint="default" w:ascii="Arial" w:eastAsia="黑体"/>
          <w:b/>
          <w:sz w:val="24"/>
          <w:lang w:val="en-US" w:eastAsia="zh-CN"/>
        </w:rPr>
      </w:pPr>
      <w:r>
        <w:rPr>
          <w:rFonts w:ascii="Arial" w:eastAsia="黑体"/>
          <w:b/>
          <w:bCs/>
          <w:sz w:val="24"/>
        </w:rPr>
        <w:t>1.</w:t>
      </w:r>
      <w:r>
        <w:rPr>
          <w:rFonts w:hint="eastAsia" w:ascii="Arial" w:eastAsia="黑体"/>
          <w:b/>
          <w:bCs/>
          <w:sz w:val="24"/>
          <w:lang w:val="en-US" w:eastAsia="zh-CN"/>
        </w:rPr>
        <w:t xml:space="preserve">2 </w:t>
      </w:r>
      <w:r>
        <w:rPr>
          <w:rFonts w:hint="eastAsia" w:ascii="Arial" w:eastAsia="黑体"/>
          <w:b/>
          <w:bCs w:val="0"/>
          <w:sz w:val="24"/>
          <w:lang w:val="en-US" w:eastAsia="zh-CN"/>
        </w:rPr>
        <w:t>案例地概况与研究问题</w:t>
      </w:r>
    </w:p>
    <w:p w14:paraId="20CA1F74">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本文选取了由福建省宁德市代管的福安市下辖的湾坞镇作为研究对象。湾坞镇是中国快速工业化进程的一个独特缩影。这里坐落着以青拓集团为龙头的世界级不锈钢新材料产业园，一个产值超千亿的工业巨擘。然而，现代工业体系的强势崛起对区域内传统的乡村系统（包括农业、渔业、滨海生态及既有的社会结构）构成了显著的挤压与挑战。</w:t>
      </w:r>
    </w:p>
    <w:p w14:paraId="3DCE4697">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由此，本文想要研究的核心问题得以确立：在重工业高度主导的乡镇单元下，应如何有效地实施乡村振兴战略，争取实现超越单一工业增长的、全面协调的、可持续的乡村发展？</w:t>
      </w:r>
    </w:p>
    <w:p w14:paraId="4629AB7F">
      <w:pPr>
        <w:snapToGrid/>
        <w:spacing w:beforeAutospacing="0" w:afterAutospacing="0" w:line="336" w:lineRule="auto"/>
        <w:ind w:right="0" w:rightChars="0"/>
        <w:jc w:val="both"/>
        <w:rPr>
          <w:rFonts w:hint="eastAsia" w:ascii="Times New Roman" w:eastAsia="宋体" w:cs="方正书宋简体" w:hAnsiTheme="minorHAnsi"/>
          <w:kern w:val="2"/>
          <w:sz w:val="24"/>
          <w:lang w:val="en-US" w:eastAsia="zh-CN" w:bidi="ar-SA"/>
        </w:rPr>
      </w:pPr>
    </w:p>
    <w:p w14:paraId="3018BF44">
      <w:pPr>
        <w:pStyle w:val="17"/>
        <w:snapToGrid/>
        <w:spacing w:before="260" w:beforeAutospacing="0" w:after="260" w:afterAutospacing="0" w:line="412" w:lineRule="auto"/>
        <w:ind w:left="576" w:leftChars="0" w:right="0" w:rightChars="0" w:hanging="576" w:firstLineChars="0"/>
        <w:jc w:val="both"/>
        <w:outlineLvl w:val="1"/>
        <w:rPr>
          <w:rFonts w:hint="default" w:ascii="Arial" w:eastAsia="黑体"/>
          <w:b/>
          <w:sz w:val="24"/>
          <w:lang w:val="en-US" w:eastAsia="zh-CN"/>
        </w:rPr>
      </w:pPr>
      <w:r>
        <w:rPr>
          <w:rFonts w:ascii="Arial" w:eastAsia="黑体"/>
          <w:b/>
          <w:bCs/>
          <w:sz w:val="24"/>
        </w:rPr>
        <w:t>1.</w:t>
      </w:r>
      <w:r>
        <w:rPr>
          <w:rFonts w:hint="eastAsia" w:ascii="Arial" w:eastAsia="黑体"/>
          <w:b/>
          <w:bCs/>
          <w:sz w:val="24"/>
          <w:lang w:val="en-US" w:eastAsia="zh-CN"/>
        </w:rPr>
        <w:t xml:space="preserve">3 </w:t>
      </w:r>
      <w:r>
        <w:rPr>
          <w:rFonts w:hint="eastAsia" w:ascii="Arial" w:eastAsia="黑体"/>
          <w:b/>
          <w:bCs w:val="0"/>
          <w:sz w:val="24"/>
          <w:lang w:val="en-US" w:eastAsia="zh-CN"/>
        </w:rPr>
        <w:t>理论框架与研究思路</w:t>
      </w:r>
    </w:p>
    <w:p w14:paraId="5DD0EC42">
      <w:pPr>
        <w:snapToGrid/>
        <w:spacing w:beforeAutospacing="0" w:afterAutospacing="0" w:line="336" w:lineRule="auto"/>
        <w:ind w:left="0" w:leftChars="0" w:right="0" w:rightChars="0" w:firstLine="482" w:firstLineChars="0"/>
        <w:jc w:val="both"/>
        <w:rPr>
          <w:rFonts w:hint="default"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本研究的分析框架遵循国家乡村振兴战略的“五大振兴”维度——产业、人才、文化、生态、组织，其核心分析视角则为人地关系理论。人地关系理论作为地理学的核心议题，旨在探讨人类社会系统与其所处的环境系统之间复杂的互动关系。这一理论框架能够有效解释湾坞镇的核心矛盾：现代工业系统与传统乡村生态系统在空间、资源、环境及社会文化层面的博弈。本文将依照“现状分析—路径探索—对策建议”的逻辑，系统展开研究。</w:t>
      </w:r>
      <w:r>
        <w:rPr>
          <w:rFonts w:hint="eastAsia" w:ascii="Times New Roman" w:eastAsia="宋体" w:cs="方正书宋简体" w:hAnsiTheme="minorHAnsi"/>
          <w:kern w:val="2"/>
          <w:sz w:val="24"/>
          <w:vertAlign w:val="superscript"/>
          <w:lang w:val="en-US" w:eastAsia="zh-CN" w:bidi="ar-SA"/>
        </w:rPr>
        <w:t>[1]</w:t>
      </w:r>
    </w:p>
    <w:p w14:paraId="371227AE">
      <w:pPr>
        <w:pStyle w:val="16"/>
        <w:snapToGrid/>
        <w:spacing w:before="340" w:beforeAutospacing="0" w:after="330" w:afterAutospacing="0" w:line="576" w:lineRule="auto"/>
        <w:ind w:left="0" w:leftChars="0" w:right="0" w:rightChars="0" w:firstLine="0" w:firstLineChars="0"/>
        <w:jc w:val="center"/>
        <w:outlineLvl w:val="0"/>
        <w:rPr>
          <w:rFonts w:hint="eastAsia" w:ascii="Times New Roman" w:eastAsia="黑体" w:cs="方正书宋简体" w:hAnsiTheme="minorHAnsi"/>
          <w:b/>
          <w:kern w:val="2"/>
          <w:sz w:val="28"/>
          <w:lang w:val="en-US" w:eastAsia="zh-CN" w:bidi="ar-SA"/>
        </w:rPr>
      </w:pPr>
      <w:r>
        <w:rPr>
          <w:rFonts w:hint="eastAsia" w:ascii="Times New Roman" w:eastAsia="黑体" w:hAnsiTheme="minorEastAsia"/>
          <w:b/>
          <w:bCs/>
          <w:sz w:val="28"/>
          <w:szCs w:val="28"/>
          <w:lang w:val="en-US" w:eastAsia="zh-CN"/>
        </w:rPr>
        <w:t>2</w:t>
      </w:r>
      <w:r>
        <w:rPr>
          <w:rFonts w:ascii="Times New Roman" w:eastAsia="黑体" w:cs="宋体" w:hAnsiTheme="minorEastAsia"/>
          <w:b/>
          <w:sz w:val="28"/>
          <w:szCs w:val="28"/>
        </w:rPr>
        <w:t xml:space="preserve"> </w:t>
      </w:r>
      <w:r>
        <w:rPr>
          <w:rFonts w:hint="eastAsia" w:ascii="Times New Roman" w:eastAsia="黑体" w:cs="宋体" w:hAnsiTheme="minorEastAsia"/>
          <w:b/>
          <w:sz w:val="28"/>
          <w:szCs w:val="28"/>
        </w:rPr>
        <w:t xml:space="preserve"> </w:t>
      </w:r>
      <w:r>
        <w:rPr>
          <w:rFonts w:hint="eastAsia" w:ascii="Times New Roman" w:eastAsia="黑体" w:cs="宋体" w:hAnsiTheme="minorEastAsia"/>
          <w:b/>
          <w:sz w:val="28"/>
          <w:szCs w:val="28"/>
          <w:lang w:val="en-US" w:eastAsia="zh-CN"/>
        </w:rPr>
        <w:t>正文</w:t>
      </w:r>
    </w:p>
    <w:p w14:paraId="3C7C4E85">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576" w:leftChars="0" w:right="0" w:rightChars="0" w:hanging="576" w:firstLineChars="0"/>
        <w:jc w:val="both"/>
        <w:outlineLvl w:val="1"/>
        <w:rPr>
          <w:rFonts w:hint="default" w:ascii="Arial" w:eastAsia="黑体"/>
          <w:b/>
          <w:sz w:val="24"/>
          <w:lang w:val="en-US" w:eastAsia="zh-CN"/>
        </w:rPr>
      </w:pPr>
      <w:r>
        <w:rPr>
          <w:rFonts w:hint="default" w:ascii="Arial" w:hAnsi="Times New Roman" w:eastAsia="黑体" w:cs="Times New Roman"/>
          <w:b/>
          <w:bCs/>
          <w:sz w:val="24"/>
        </w:rPr>
        <w:t>2.1</w:t>
      </w:r>
      <w:r>
        <w:rPr>
          <w:rFonts w:hint="default" w:ascii="Arial" w:hAnsi="Times New Roman" w:eastAsia="黑体" w:cs="Times New Roman"/>
          <w:b/>
          <w:sz w:val="24"/>
        </w:rPr>
        <w:t xml:space="preserve"> </w:t>
      </w:r>
      <w:r>
        <w:rPr>
          <w:rFonts w:ascii="Arial" w:eastAsia="黑体"/>
          <w:b/>
          <w:sz w:val="24"/>
        </w:rPr>
        <w:t xml:space="preserve"> </w:t>
      </w:r>
      <w:r>
        <w:rPr>
          <w:rFonts w:hint="eastAsia" w:ascii="Arial" w:hAnsi="黑体" w:eastAsia="黑体" w:cs="黑体"/>
          <w:b/>
          <w:sz w:val="24"/>
          <w:szCs w:val="21"/>
          <w:lang w:val="en-US" w:eastAsia="zh-CN"/>
        </w:rPr>
        <w:t>宏观政策与区域背景</w:t>
      </w:r>
    </w:p>
    <w:p w14:paraId="6299128C">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default" w:ascii="Times New Roman" w:eastAsia="黑体"/>
          <w:b/>
          <w:sz w:val="24"/>
          <w:lang w:val="en-US" w:eastAsia="zh-CN"/>
        </w:rPr>
      </w:pPr>
      <w:r>
        <w:rPr>
          <w:rFonts w:hint="default" w:ascii="Times New Roman" w:hAnsi="Times New Roman" w:eastAsia="黑体" w:cs="Times New Roman"/>
          <w:b/>
          <w:bCs/>
          <w:sz w:val="24"/>
          <w:szCs w:val="22"/>
        </w:rPr>
        <w:t>2.1.1</w:t>
      </w:r>
      <w:r>
        <w:rPr>
          <w:rFonts w:hint="default" w:ascii="Times New Roman" w:hAnsi="Times New Roman" w:eastAsia="黑体" w:cs="Times New Roman"/>
          <w:b/>
          <w:bCs/>
          <w:sz w:val="24"/>
          <w:szCs w:val="21"/>
          <w:lang w:val="en-US" w:eastAsia="zh-CN"/>
        </w:rPr>
        <w:t xml:space="preserve"> </w:t>
      </w:r>
      <w:r>
        <w:rPr>
          <w:rFonts w:hint="eastAsia" w:ascii="Times New Roman" w:hAnsi="黑体" w:eastAsia="黑体" w:cs="黑体"/>
          <w:b/>
          <w:bCs w:val="0"/>
          <w:sz w:val="24"/>
          <w:lang w:val="en-US" w:eastAsia="zh-CN"/>
        </w:rPr>
        <w:t>国家乡村振兴战略的顶层设计</w:t>
      </w:r>
    </w:p>
    <w:p w14:paraId="2E5C505F">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乡村振兴战略的总体目标是实现农业农村现代化，其内涵由“产业兴旺、生态宜居、乡风文明、治理有效、生活富裕”二十字方针便可精准概括。国家强调，在乡村振兴战略的实施过程中必须遵循一系列基本原则，包括坚持农民主体地位、坚持人与自然和谐共生、坚持城乡融合发展等。</w:t>
      </w:r>
    </w:p>
    <w:p w14:paraId="7BB1C3EA">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2021年《中华人民共和国乡村振兴促进法》的颁布，标志着该战略从政策倡议向法治化保障的根本性转变。法律明确了“中央统筹、省负总责、市县乡抓落实”的工作机制，并要求建立健全财政投入保障、考核评价等制度，为战略的长期稳定实施提供了坚实的法律基石。</w:t>
      </w:r>
    </w:p>
    <w:p w14:paraId="4C6A045A">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eastAsia" w:ascii="Times New Roman" w:eastAsia="黑体"/>
          <w:b/>
          <w:sz w:val="24"/>
        </w:rPr>
      </w:pPr>
      <w:r>
        <w:rPr>
          <w:rFonts w:hint="default" w:ascii="Times New Roman" w:hAnsi="Times New Roman" w:eastAsia="黑体" w:cs="Times New Roman"/>
          <w:b/>
          <w:bCs/>
          <w:sz w:val="24"/>
          <w:szCs w:val="22"/>
        </w:rPr>
        <w:t>2.1.</w:t>
      </w:r>
      <w:r>
        <w:rPr>
          <w:rFonts w:hint="eastAsia" w:ascii="Times New Roman" w:hAnsi="Times New Roman" w:eastAsia="黑体" w:cs="Times New Roman"/>
          <w:b/>
          <w:bCs/>
          <w:sz w:val="24"/>
          <w:szCs w:val="22"/>
          <w:lang w:val="en-US" w:eastAsia="zh-CN"/>
        </w:rPr>
        <w:t>2</w:t>
      </w:r>
      <w:r>
        <w:rPr>
          <w:rFonts w:hint="default" w:ascii="Times New Roman" w:hAnsi="Times New Roman" w:eastAsia="黑体" w:cs="Times New Roman"/>
          <w:b/>
          <w:bCs/>
          <w:sz w:val="24"/>
          <w:szCs w:val="21"/>
          <w:lang w:val="en-US" w:eastAsia="zh-CN"/>
        </w:rPr>
        <w:t xml:space="preserve"> </w:t>
      </w:r>
      <w:r>
        <w:rPr>
          <w:rFonts w:hint="eastAsia" w:ascii="Times New Roman" w:hAnsi="黑体" w:eastAsia="黑体" w:cs="黑体"/>
          <w:b/>
          <w:bCs w:val="0"/>
          <w:sz w:val="24"/>
          <w:lang w:val="en-US" w:eastAsia="zh-CN"/>
        </w:rPr>
        <w:t>福建省及宁德市的特色化实践</w:t>
      </w:r>
    </w:p>
    <w:p w14:paraId="1241195B">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国家宏观战略在地方的落地，往往会与地域特色相结合，形成具体的行动方案。</w:t>
      </w:r>
    </w:p>
    <w:p w14:paraId="38EB6100">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在福建省层面，“山海协作”是其长期坚持的区域协调发展模式。该模式旨在通过沿海发达地区与内陆山区的产业联动，促进共同发展，这与宁德市以湾坞龙头企业带动山区配套产业链发展的格局高度契合。此外，福建省还通过“千村示范引领、万村共富共美”工程以及“乡村振兴贷”等金融产品，为乡村发展提供了具体的项目抓手和资金支持。</w:t>
      </w:r>
    </w:p>
    <w:p w14:paraId="6029CAC5">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在宁德市层面，其战略定位是建设“现代化生态海湾新兴城市”。这一定位将经济发展置于生态文明建设的框架之下，直接回应了人地关系协调的核心命题。宁德市近年来推行的海上养殖综合整治“清海行动”便是其平衡发展与保护的有力证明。同时，宁德市近年来始终强调走出“具有闽东特色的乡村振兴之路”，预示着地方将充分挖掘畲族文化、特色农产品等独特资源，作为振兴战略的重要组成部分。</w:t>
      </w:r>
    </w:p>
    <w:p w14:paraId="2E143F86">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p>
    <w:p w14:paraId="2CFB2F8E">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576" w:leftChars="0" w:right="0" w:rightChars="0" w:hanging="576" w:firstLineChars="0"/>
        <w:jc w:val="both"/>
        <w:outlineLvl w:val="1"/>
        <w:rPr>
          <w:rFonts w:hint="eastAsia" w:ascii="Arial" w:hAnsi="黑体" w:eastAsia="黑体" w:cs="黑体"/>
          <w:b/>
          <w:sz w:val="24"/>
          <w:lang w:val="en-US" w:eastAsia="zh-CN"/>
        </w:rPr>
      </w:pPr>
      <w:r>
        <w:rPr>
          <w:rFonts w:hint="eastAsia" w:ascii="Arial" w:hAnsi="黑体" w:eastAsia="黑体" w:cs="黑体"/>
          <w:b/>
          <w:bCs/>
          <w:sz w:val="24"/>
          <w:szCs w:val="21"/>
        </w:rPr>
        <w:t>2.</w:t>
      </w:r>
      <w:r>
        <w:rPr>
          <w:rFonts w:hint="eastAsia" w:ascii="Arial" w:hAnsi="黑体" w:eastAsia="黑体" w:cs="黑体"/>
          <w:b/>
          <w:bCs/>
          <w:sz w:val="24"/>
          <w:szCs w:val="21"/>
          <w:lang w:val="en-US" w:eastAsia="zh-CN"/>
        </w:rPr>
        <w:t>2</w:t>
      </w:r>
      <w:r>
        <w:rPr>
          <w:rFonts w:hint="eastAsia" w:ascii="Arial" w:hAnsi="黑体" w:eastAsia="黑体" w:cs="黑体"/>
          <w:b/>
          <w:sz w:val="24"/>
          <w:szCs w:val="21"/>
        </w:rPr>
        <w:t xml:space="preserve">  </w:t>
      </w:r>
      <w:r>
        <w:rPr>
          <w:rFonts w:hint="eastAsia" w:ascii="Arial" w:hAnsi="黑体" w:eastAsia="黑体" w:cs="黑体"/>
          <w:b/>
          <w:bCs w:val="0"/>
          <w:sz w:val="24"/>
          <w:szCs w:val="21"/>
          <w:lang w:val="en-US" w:eastAsia="zh-CN"/>
        </w:rPr>
        <w:t>湾坞镇发展现状：机遇、挑战与核心矛盾</w:t>
      </w:r>
    </w:p>
    <w:p w14:paraId="73A8D390">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default" w:ascii="Times New Roman" w:eastAsia="黑体"/>
          <w:b/>
          <w:sz w:val="24"/>
          <w:lang w:val="en-US" w:eastAsia="zh-CN"/>
        </w:rPr>
      </w:pPr>
      <w:r>
        <w:rPr>
          <w:rFonts w:hint="default" w:ascii="Times New Roman" w:hAnsi="Times New Roman" w:eastAsia="黑体" w:cs="Times New Roman"/>
          <w:b/>
          <w:bCs/>
          <w:sz w:val="24"/>
          <w:szCs w:val="22"/>
        </w:rPr>
        <w:t>2.</w:t>
      </w:r>
      <w:r>
        <w:rPr>
          <w:rFonts w:hint="eastAsia" w:ascii="Times New Roman" w:hAnsi="Times New Roman" w:eastAsia="黑体" w:cs="Times New Roman"/>
          <w:b/>
          <w:bCs/>
          <w:sz w:val="24"/>
          <w:szCs w:val="22"/>
          <w:lang w:val="en-US" w:eastAsia="zh-CN"/>
        </w:rPr>
        <w:t>2</w:t>
      </w:r>
      <w:r>
        <w:rPr>
          <w:rFonts w:hint="default" w:ascii="Times New Roman" w:hAnsi="Times New Roman" w:eastAsia="黑体" w:cs="Times New Roman"/>
          <w:b/>
          <w:bCs/>
          <w:sz w:val="24"/>
          <w:szCs w:val="22"/>
        </w:rPr>
        <w:t>.1</w:t>
      </w:r>
      <w:r>
        <w:rPr>
          <w:rFonts w:hint="default" w:ascii="Times New Roman" w:hAnsi="Times New Roman" w:eastAsia="黑体" w:cs="Times New Roman"/>
          <w:b/>
          <w:bCs/>
          <w:sz w:val="24"/>
          <w:szCs w:val="21"/>
          <w:lang w:val="en-US" w:eastAsia="zh-CN"/>
        </w:rPr>
        <w:t xml:space="preserve"> </w:t>
      </w:r>
      <w:r>
        <w:rPr>
          <w:rFonts w:hint="eastAsia" w:ascii="Times New Roman" w:hAnsi="黑体" w:eastAsia="黑体" w:cs="黑体"/>
          <w:b/>
          <w:bCs w:val="0"/>
          <w:sz w:val="24"/>
          <w:lang w:val="en-US" w:eastAsia="zh-CN"/>
        </w:rPr>
        <w:t>地理与生态基底</w:t>
      </w:r>
    </w:p>
    <w:p w14:paraId="05413081">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湾坞镇地处福建东北沿海，境内拥有交溪水系冲积形成的肥沃的沿岸平原，为传统农业提供了良好基础。其最为关键和独特的生态资产，是中国大陆纬度最高的天然红树林湿地。这片红树林不仅是珍稀的物种基因库，更在维持滨海生物多样性、抵御风浪、净化水体等方面发挥着不可替代的生态系统服务功能。</w:t>
      </w:r>
    </w:p>
    <w:p w14:paraId="6EF896EE">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default" w:ascii="Times New Roman" w:eastAsia="黑体"/>
          <w:b/>
          <w:sz w:val="24"/>
          <w:lang w:val="en-US"/>
        </w:rPr>
      </w:pPr>
      <w:r>
        <w:rPr>
          <w:rFonts w:hint="default" w:ascii="Times New Roman" w:hAnsi="Times New Roman" w:eastAsia="黑体" w:cs="Times New Roman"/>
          <w:b/>
          <w:bCs/>
          <w:sz w:val="24"/>
          <w:szCs w:val="22"/>
        </w:rPr>
        <w:t>2.</w:t>
      </w:r>
      <w:r>
        <w:rPr>
          <w:rFonts w:hint="eastAsia" w:ascii="Times New Roman" w:hAnsi="Times New Roman" w:eastAsia="黑体" w:cs="Times New Roman"/>
          <w:b/>
          <w:bCs/>
          <w:sz w:val="24"/>
          <w:szCs w:val="22"/>
          <w:lang w:val="en-US" w:eastAsia="zh-CN"/>
        </w:rPr>
        <w:t>2</w:t>
      </w:r>
      <w:r>
        <w:rPr>
          <w:rFonts w:hint="default" w:ascii="Times New Roman" w:hAnsi="Times New Roman" w:eastAsia="黑体" w:cs="Times New Roman"/>
          <w:b/>
          <w:bCs/>
          <w:sz w:val="24"/>
          <w:szCs w:val="22"/>
        </w:rPr>
        <w:t>.</w:t>
      </w:r>
      <w:r>
        <w:rPr>
          <w:rFonts w:hint="eastAsia" w:ascii="Times New Roman" w:hAnsi="Times New Roman" w:eastAsia="黑体" w:cs="Times New Roman"/>
          <w:b/>
          <w:bCs/>
          <w:sz w:val="24"/>
          <w:szCs w:val="22"/>
          <w:lang w:val="en-US" w:eastAsia="zh-CN"/>
        </w:rPr>
        <w:t>2</w:t>
      </w:r>
      <w:r>
        <w:rPr>
          <w:rFonts w:hint="default" w:ascii="Times New Roman" w:hAnsi="Times New Roman" w:eastAsia="黑体" w:cs="Times New Roman"/>
          <w:b/>
          <w:bCs/>
          <w:sz w:val="24"/>
          <w:szCs w:val="21"/>
          <w:lang w:val="en-US" w:eastAsia="zh-CN"/>
        </w:rPr>
        <w:t xml:space="preserve"> </w:t>
      </w:r>
      <w:r>
        <w:rPr>
          <w:rFonts w:hint="eastAsia" w:ascii="Times New Roman" w:hAnsi="黑体" w:eastAsia="黑体" w:cs="黑体"/>
          <w:b/>
          <w:bCs w:val="0"/>
          <w:sz w:val="24"/>
          <w:lang w:val="en-US" w:eastAsia="zh-CN"/>
        </w:rPr>
        <w:t>双元经济结构：巨型工业与传统农业的失衡并存</w:t>
      </w:r>
    </w:p>
    <w:p w14:paraId="6A545ED1">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sz w:val="24"/>
        </w:rPr>
        <w:t>湾</w:t>
      </w:r>
      <w:r>
        <w:rPr>
          <w:rFonts w:hint="eastAsia" w:ascii="Times New Roman" w:eastAsia="宋体" w:cs="方正书宋简体" w:hAnsiTheme="minorHAnsi"/>
          <w:kern w:val="2"/>
          <w:sz w:val="24"/>
          <w:lang w:val="en-US" w:eastAsia="zh-CN" w:bidi="ar-SA"/>
        </w:rPr>
        <w:t>坞镇的经济结构呈现出典型的“双元”特征，即一个现代化的工业巨头与一个传统的第一产业并存，但两者体量悬殊，关系失衡。</w:t>
      </w:r>
    </w:p>
    <w:p w14:paraId="766DD633">
      <w:pPr>
        <w:snapToGrid/>
        <w:spacing w:beforeAutospacing="0" w:afterAutospacing="0" w:line="336" w:lineRule="auto"/>
        <w:ind w:left="0" w:leftChars="0" w:right="0" w:rightChars="0" w:firstLine="482" w:firstLineChars="0"/>
        <w:jc w:val="both"/>
        <w:rPr>
          <w:rFonts w:hint="default"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① 工业引擎： 湾坞不锈钢新材料产业园是福安市乃至宁德市的经济支柱，已获批国家级新型工业化产业示范基地。以青拓集团为核心，园区形成了完整的产业链，是地方经济的核心驱动力。</w:t>
      </w:r>
      <w:r>
        <w:rPr>
          <w:rFonts w:hint="eastAsia" w:ascii="Times New Roman" w:eastAsia="宋体" w:cs="方正书宋简体" w:hAnsiTheme="minorHAnsi"/>
          <w:kern w:val="2"/>
          <w:sz w:val="24"/>
          <w:vertAlign w:val="superscript"/>
          <w:lang w:val="en-US" w:eastAsia="zh-CN" w:bidi="ar-SA"/>
        </w:rPr>
        <w:t>[2]</w:t>
      </w:r>
    </w:p>
    <w:p w14:paraId="1499EB30">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② 传统根基： 与工业巨头平行存在的，是湾坞镇的传统农业和渔业，如福安巨峰葡萄种植和沿海滩涂的水产养殖。尽管这些产业更具地方特色，然而传统产业的规模和产值在不锈钢产业面前便显得相形见绌、不值一提。</w:t>
      </w:r>
    </w:p>
    <w:p w14:paraId="0AB7DAAE">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default" w:ascii="Times New Roman" w:eastAsia="黑体"/>
          <w:b/>
          <w:sz w:val="24"/>
          <w:lang w:val="en-US"/>
        </w:rPr>
      </w:pPr>
      <w:r>
        <w:rPr>
          <w:rFonts w:hint="default" w:ascii="Times New Roman" w:hAnsi="Times New Roman" w:eastAsia="黑体" w:cs="Times New Roman"/>
          <w:b/>
          <w:bCs/>
          <w:sz w:val="24"/>
          <w:szCs w:val="22"/>
        </w:rPr>
        <w:t>2.</w:t>
      </w:r>
      <w:r>
        <w:rPr>
          <w:rFonts w:hint="eastAsia" w:ascii="Times New Roman" w:hAnsi="Times New Roman" w:eastAsia="黑体" w:cs="Times New Roman"/>
          <w:b/>
          <w:bCs/>
          <w:sz w:val="24"/>
          <w:szCs w:val="22"/>
          <w:lang w:val="en-US" w:eastAsia="zh-CN"/>
        </w:rPr>
        <w:t>2</w:t>
      </w:r>
      <w:r>
        <w:rPr>
          <w:rFonts w:hint="default" w:ascii="Times New Roman" w:hAnsi="Times New Roman" w:eastAsia="黑体" w:cs="Times New Roman"/>
          <w:b/>
          <w:bCs/>
          <w:sz w:val="24"/>
          <w:szCs w:val="22"/>
        </w:rPr>
        <w:t>.</w:t>
      </w:r>
      <w:r>
        <w:rPr>
          <w:rFonts w:hint="eastAsia" w:ascii="Times New Roman" w:hAnsi="Times New Roman" w:eastAsia="黑体" w:cs="Times New Roman"/>
          <w:b/>
          <w:bCs/>
          <w:sz w:val="24"/>
          <w:szCs w:val="22"/>
          <w:lang w:val="en-US" w:eastAsia="zh-CN"/>
        </w:rPr>
        <w:t>3</w:t>
      </w:r>
      <w:r>
        <w:rPr>
          <w:rFonts w:hint="default" w:ascii="Times New Roman" w:hAnsi="Times New Roman" w:eastAsia="黑体" w:cs="Times New Roman"/>
          <w:b/>
          <w:bCs/>
          <w:sz w:val="24"/>
          <w:szCs w:val="21"/>
          <w:lang w:val="en-US" w:eastAsia="zh-CN"/>
        </w:rPr>
        <w:t xml:space="preserve"> </w:t>
      </w:r>
      <w:r>
        <w:rPr>
          <w:rFonts w:hint="eastAsia" w:ascii="Times New Roman" w:hAnsi="黑体" w:eastAsia="黑体" w:cs="黑体"/>
          <w:b/>
          <w:bCs w:val="0"/>
          <w:sz w:val="24"/>
          <w:lang w:val="en-US" w:eastAsia="zh-CN"/>
        </w:rPr>
        <w:t>核心矛盾：剧烈的人地关系冲突</w:t>
      </w:r>
    </w:p>
    <w:p w14:paraId="064A2F58">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湾坞镇当前的发展状况集中体现了快速工业化进程中尖锐的人地关系矛盾，这一矛盾主要通过以下三个层面表现出来：</w:t>
      </w:r>
    </w:p>
    <w:p w14:paraId="17B1B373">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① 空间与土地利用冲突： 工业园区的持续扩张及配套基础设施建设，无可避免地侵占了大量农业用地和生态敏感的滨海滩涂。这种对有限土地资源的争夺呈现出此消彼长的态势，直接威胁到整个区域的粮食安全和生态安全。</w:t>
      </w:r>
    </w:p>
    <w:p w14:paraId="050C417D">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② 环境承载压力： 高密度的重工业集聚给湾坞镇的生态环境带来了巨大压力。工业用水与生活和农业用水的矛盾日益突出；工业生产和港口航运带来的污染物排放，对海湾水质、土壤和空气质量构成潜在威胁。</w:t>
      </w:r>
    </w:p>
    <w:p w14:paraId="2741A38E">
      <w:pPr>
        <w:snapToGrid/>
        <w:spacing w:beforeAutospacing="0" w:afterAutospacing="0" w:line="336" w:lineRule="auto"/>
        <w:ind w:left="0" w:leftChars="0" w:right="0" w:rightChars="0" w:firstLine="482" w:firstLineChars="0"/>
        <w:jc w:val="both"/>
        <w:rPr>
          <w:rFonts w:hint="default"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③ 社会文化裂痕： 工业化带来了人口的急剧膨胀，大量外来技术人员和务工人员的涌入，与本地原有居民形成了两个相对独立的社群，造成了事实上的“双元社会”。由此也引发了公共服务资源紧张、社区融合度低、文化认同感缺失等一系列社会治理难题。</w:t>
      </w:r>
      <w:r>
        <w:rPr>
          <w:rFonts w:hint="eastAsia" w:ascii="Times New Roman" w:eastAsia="宋体" w:cs="方正书宋简体" w:hAnsiTheme="minorHAnsi"/>
          <w:kern w:val="2"/>
          <w:sz w:val="24"/>
          <w:vertAlign w:val="superscript"/>
          <w:lang w:val="en-US" w:eastAsia="zh-CN" w:bidi="ar-SA"/>
        </w:rPr>
        <w:t>[3]</w:t>
      </w:r>
    </w:p>
    <w:p w14:paraId="4F9FA1D0">
      <w:pPr>
        <w:snapToGrid/>
        <w:spacing w:beforeAutospacing="0" w:afterAutospacing="0" w:line="336" w:lineRule="auto"/>
        <w:ind w:right="0" w:rightChars="0"/>
        <w:jc w:val="both"/>
        <w:rPr>
          <w:rFonts w:hint="eastAsia" w:ascii="Times New Roman" w:eastAsia="宋体" w:cs="方正书宋简体" w:hAnsiTheme="minorHAnsi"/>
          <w:kern w:val="2"/>
          <w:sz w:val="24"/>
          <w:lang w:val="en-US" w:eastAsia="zh-CN" w:bidi="ar-SA"/>
        </w:rPr>
      </w:pPr>
    </w:p>
    <w:p w14:paraId="11819F42">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576" w:leftChars="0" w:right="0" w:rightChars="0" w:hanging="576" w:firstLineChars="0"/>
        <w:jc w:val="both"/>
        <w:outlineLvl w:val="1"/>
        <w:rPr>
          <w:rFonts w:hint="eastAsia" w:ascii="Arial" w:eastAsia="黑体"/>
          <w:b/>
          <w:sz w:val="24"/>
          <w:szCs w:val="21"/>
        </w:rPr>
      </w:pPr>
      <w:r>
        <w:rPr>
          <w:rFonts w:hint="eastAsia" w:ascii="Arial" w:eastAsia="黑体"/>
          <w:b/>
          <w:bCs/>
          <w:sz w:val="24"/>
          <w:szCs w:val="21"/>
        </w:rPr>
        <w:t>2</w:t>
      </w:r>
      <w:r>
        <w:rPr>
          <w:rFonts w:ascii="Arial" w:eastAsia="黑体"/>
          <w:b/>
          <w:bCs/>
          <w:sz w:val="24"/>
          <w:szCs w:val="21"/>
        </w:rPr>
        <w:t>.</w:t>
      </w:r>
      <w:r>
        <w:rPr>
          <w:rFonts w:hint="eastAsia" w:ascii="Arial" w:eastAsia="黑体"/>
          <w:b/>
          <w:bCs/>
          <w:sz w:val="24"/>
          <w:szCs w:val="21"/>
          <w:lang w:val="en-US" w:eastAsia="zh-CN"/>
        </w:rPr>
        <w:t>3</w:t>
      </w:r>
      <w:r>
        <w:rPr>
          <w:rFonts w:ascii="Arial" w:eastAsia="黑体"/>
          <w:b/>
          <w:sz w:val="24"/>
          <w:szCs w:val="21"/>
        </w:rPr>
        <w:t xml:space="preserve">  </w:t>
      </w:r>
      <w:r>
        <w:rPr>
          <w:rFonts w:hint="eastAsia" w:ascii="Arial" w:hAnsi="黑体" w:eastAsia="黑体" w:cs="黑体"/>
          <w:b/>
          <w:sz w:val="24"/>
          <w:szCs w:val="21"/>
          <w:lang w:val="en-US" w:eastAsia="zh-CN"/>
        </w:rPr>
        <w:t>湾</w:t>
      </w:r>
      <w:r>
        <w:rPr>
          <w:rFonts w:hint="eastAsia" w:ascii="Arial" w:hAnsi="黑体" w:eastAsia="黑体" w:cs="黑体"/>
          <w:b/>
          <w:sz w:val="24"/>
          <w:szCs w:val="21"/>
        </w:rPr>
        <w:t>坞镇乡村振兴的融合发展路径</w:t>
      </w:r>
    </w:p>
    <w:p w14:paraId="41FF4EE6">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基于以上分析，湾坞镇的乡村振兴必须走一条整合发展的全新道路，其核心目标是将当前人地关系的冲突转化为协同，将五大振兴的各项任务融合成一个有机整体。</w:t>
      </w:r>
    </w:p>
    <w:p w14:paraId="219CF1C1">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eastAsia" w:ascii="Times New Roman" w:eastAsia="黑体"/>
          <w:b/>
          <w:sz w:val="24"/>
        </w:rPr>
      </w:pPr>
      <w:r>
        <w:rPr>
          <w:rFonts w:hint="eastAsia" w:ascii="Times New Roman" w:eastAsia="黑体"/>
          <w:b/>
          <w:sz w:val="24"/>
          <w:lang w:val="en-US" w:eastAsia="zh-CN"/>
        </w:rPr>
        <w:t xml:space="preserve">2.3.1 </w:t>
      </w:r>
      <w:r>
        <w:rPr>
          <w:rFonts w:hint="eastAsia" w:ascii="Times New Roman" w:eastAsia="黑体"/>
          <w:b/>
          <w:sz w:val="24"/>
        </w:rPr>
        <w:t>产业振兴：从产业并存走向产村融合</w:t>
      </w:r>
    </w:p>
    <w:p w14:paraId="4B12F089">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在湾坞镇的特殊环境下，“产业兴旺”的核心任务在于，如何通过构建与现有工业体系的联动关系来振兴和提升被边缘化的传统乡村产业，从而最终实现从“零和博弈”到“合作共赢”的转变。</w:t>
      </w:r>
    </w:p>
    <w:p w14:paraId="1C81CA4E">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① 应当建立“工业反哺农业”的制度化链接。充分借鉴浙江等地“村企共建”的成功经验，逐步建立起制度化的反哺机制。例如：推动镇政府、村集体与园区企业签订协议，建立本地农产品优先采购机制；由园区企业与政府引导基金共同设立“现代农业发展专项基金”，支持本地农户引进先进农业技术与设施，建立立体生态养殖模式等。</w:t>
      </w:r>
    </w:p>
    <w:p w14:paraId="6D3F098E">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② 应当推动“产业融合发展”的新业态培育。要结合实际条件，充分利用湾坞镇独特的“钢铁”与“海洋”元素，发展跨界融合的新型服务业。例如：策划集工业文明探访与滨海生态体验于一体的“工业+生态”特色旅游线路；探索工业余热用于农业大棚供暖、工业用水经过循环后再用于农业灌溉等循环经济模式，构建区域内部的微型循环经济体系。</w:t>
      </w:r>
    </w:p>
    <w:p w14:paraId="58C34161">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eastAsia" w:ascii="Times New Roman" w:eastAsia="黑体"/>
          <w:b/>
          <w:sz w:val="24"/>
        </w:rPr>
      </w:pPr>
      <w:r>
        <w:rPr>
          <w:rFonts w:hint="eastAsia" w:ascii="Times New Roman" w:eastAsia="黑体"/>
          <w:b/>
          <w:sz w:val="24"/>
          <w:lang w:val="en-US" w:eastAsia="zh-CN"/>
        </w:rPr>
        <w:t xml:space="preserve">2.3.2 </w:t>
      </w:r>
      <w:r>
        <w:rPr>
          <w:rFonts w:hint="eastAsia" w:ascii="Times New Roman" w:eastAsia="黑体"/>
          <w:b/>
          <w:sz w:val="24"/>
        </w:rPr>
        <w:t>人才振兴：构建共享型人力资本体系</w:t>
      </w:r>
    </w:p>
    <w:p w14:paraId="63B2B9E4">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湾坞镇的人才振兴面临双重任务：既要服务和留住工业园区吸引来的庞大外来人口，也要为乡村自身发展培育和吸引“新农人”。解决这一问题的关键，在于将公共服务设施的提升作为连接两个群体的桥梁。</w:t>
      </w:r>
    </w:p>
    <w:p w14:paraId="6DC4D7EB">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① 以优质公共服务吸引和留住各类人才。以高标准建设的福安一中滨海校区为契机，将其定位为全镇共享的优质教育资源，通过包容的招生政策促进不同社群子女的融合。再以此为突破口，系统性地提升全镇的医疗、商业、文体等公共服务水平，力求打造出对所有居民都极具吸引力的高品质生活环境。</w:t>
      </w:r>
    </w:p>
    <w:p w14:paraId="75C28006">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② 培育本土技能人才。由政府牵头，园区企业参与，为本土适合的居民提供针对性的职业技能培训，如现代农业技术、生态水产养殖、农村电商、乡村旅游服务等，为乡村产业的多元化发展储备人力资本。</w:t>
      </w:r>
    </w:p>
    <w:p w14:paraId="272935CE">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eastAsia" w:ascii="Times New Roman" w:eastAsia="黑体"/>
          <w:b/>
          <w:sz w:val="24"/>
        </w:rPr>
      </w:pPr>
      <w:r>
        <w:rPr>
          <w:rFonts w:hint="eastAsia" w:ascii="Times New Roman" w:eastAsia="黑体"/>
          <w:b/>
          <w:sz w:val="24"/>
          <w:lang w:val="en-US" w:eastAsia="zh-CN"/>
        </w:rPr>
        <w:t xml:space="preserve">2.3.3 </w:t>
      </w:r>
      <w:r>
        <w:rPr>
          <w:rFonts w:hint="eastAsia" w:ascii="Times New Roman" w:eastAsia="黑体"/>
          <w:b/>
          <w:sz w:val="24"/>
        </w:rPr>
        <w:t>文化振兴：熔铸具有包容性的新社区文化</w:t>
      </w:r>
    </w:p>
    <w:p w14:paraId="5F88F37B">
      <w:pPr>
        <w:snapToGrid/>
        <w:spacing w:beforeAutospacing="0" w:afterAutospacing="0" w:line="336" w:lineRule="auto"/>
        <w:ind w:left="0" w:leftChars="0" w:right="0" w:rightChars="0" w:firstLine="482" w:firstLineChars="0"/>
        <w:jc w:val="both"/>
        <w:rPr>
          <w:rFonts w:hint="eastAsia" w:ascii="Times New Roman" w:eastAsia="宋体"/>
          <w:sz w:val="24"/>
        </w:rPr>
      </w:pPr>
      <w:r>
        <w:rPr>
          <w:rFonts w:hint="eastAsia" w:ascii="Times New Roman" w:eastAsia="宋体" w:cs="方正书宋简体" w:hAnsiTheme="minorHAnsi"/>
          <w:kern w:val="2"/>
          <w:sz w:val="24"/>
          <w:lang w:val="en-US" w:eastAsia="zh-CN" w:bidi="ar-SA"/>
        </w:rPr>
        <w:t>面对“双元社会”的结构，乡风文明的建设必须是一个面向未来的、主动的建构过程，目标是熔铸出一个能够弥合社会裂痕、包容多元群体的新社区文化。</w:t>
      </w:r>
    </w:p>
    <w:p w14:paraId="5A07DE2E">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① 活化利用在地文化遗产。积极挖掘和利用福安及闽东地区的文化资源，用好本土现有的畲族文化和海洋文化，将其融入节庆活动、公共空间设计和乡土教育中，为这座新兴的工业城镇注入深厚的文化底蕴。</w:t>
      </w:r>
    </w:p>
    <w:p w14:paraId="52794726">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② 塑造现代工业文明与新的社群认同。通过工业旅游等形式，展示不锈钢产业的现代技术与工匠精神。同时，创设具有足够吸引力的共享文化活动，构建新的独属于“湾坞人”的社群认同。</w:t>
      </w:r>
    </w:p>
    <w:p w14:paraId="0CFDA709">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eastAsia" w:ascii="Times New Roman" w:eastAsia="黑体"/>
          <w:b/>
          <w:sz w:val="24"/>
        </w:rPr>
      </w:pPr>
      <w:r>
        <w:rPr>
          <w:rFonts w:hint="eastAsia" w:ascii="Times New Roman" w:eastAsia="黑体"/>
          <w:b/>
          <w:sz w:val="24"/>
          <w:lang w:val="en-US" w:eastAsia="zh-CN"/>
        </w:rPr>
        <w:t xml:space="preserve">2.3.4 </w:t>
      </w:r>
      <w:r>
        <w:rPr>
          <w:rFonts w:hint="eastAsia" w:ascii="Times New Roman" w:eastAsia="黑体"/>
          <w:b/>
          <w:sz w:val="24"/>
        </w:rPr>
        <w:t>生态振兴：建设人与自然和谐共生的生态海湾</w:t>
      </w:r>
    </w:p>
    <w:p w14:paraId="0C199EE2">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湾坞镇的生态振兴，其核心在于处理好工业发展与生态保护的矛盾。其独特的红树林资源，在国家“生态文明建设” 和宁德市“生态海湾城市” 的宏观背景下，正是实现生态价值转化的重要战略资产。</w:t>
      </w:r>
    </w:p>
    <w:p w14:paraId="6067AD0A">
      <w:pPr>
        <w:snapToGrid/>
        <w:spacing w:beforeAutospacing="0" w:afterAutospacing="0" w:line="336" w:lineRule="auto"/>
        <w:ind w:left="0" w:leftChars="0" w:right="0" w:rightChars="0" w:firstLine="482" w:firstLineChars="0"/>
        <w:jc w:val="both"/>
        <w:rPr>
          <w:rFonts w:hint="default"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① 加强红树林保护与生态价值转化。建立“湾坞红树林湿地特别保护区”，实行对红树林湿地这一宝贵资源的最严格的保护。在此基础上，开发以红树林为核心的高端生态旅游产品，如科普教育、自然观鸟等，将生态保护的成果直接转化为乡村社区的可持续收入，实现从“绿水青山”向“金山银山”的转化。</w:t>
      </w:r>
      <w:r>
        <w:rPr>
          <w:rFonts w:hint="eastAsia" w:ascii="Times New Roman" w:eastAsia="宋体" w:cs="方正书宋简体" w:hAnsiTheme="minorHAnsi"/>
          <w:kern w:val="2"/>
          <w:sz w:val="24"/>
          <w:vertAlign w:val="superscript"/>
          <w:lang w:val="en-US" w:eastAsia="zh-CN" w:bidi="ar-SA"/>
        </w:rPr>
        <w:t>[4]</w:t>
      </w:r>
    </w:p>
    <w:p w14:paraId="45DF92D5">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② 建立成体系的生态补偿机制。推动建立一个由法律或地方性法规保障的、制度化的生态补偿机制。由园区内的工业企业基于“污染者付费”、“受益者补偿”的原则，出资设立“湾坞生态发展基金”，专项用于区域生态修复、环境治理和绿色基础设施建设，将工业发展的外部环境成本内部化。</w:t>
      </w:r>
    </w:p>
    <w:p w14:paraId="616043F8">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720" w:leftChars="0" w:right="0" w:rightChars="0" w:hanging="720" w:firstLineChars="0"/>
        <w:jc w:val="both"/>
        <w:outlineLvl w:val="2"/>
        <w:rPr>
          <w:rFonts w:hint="eastAsia" w:ascii="Times New Roman" w:eastAsia="黑体"/>
          <w:b/>
          <w:sz w:val="24"/>
        </w:rPr>
      </w:pPr>
      <w:r>
        <w:rPr>
          <w:rFonts w:hint="eastAsia" w:ascii="Times New Roman" w:eastAsia="黑体"/>
          <w:b/>
          <w:sz w:val="24"/>
          <w:lang w:val="en-US" w:eastAsia="zh-CN"/>
        </w:rPr>
        <w:t xml:space="preserve">2.3.5 </w:t>
      </w:r>
      <w:r>
        <w:rPr>
          <w:rFonts w:hint="eastAsia" w:ascii="Times New Roman" w:eastAsia="黑体"/>
          <w:b/>
          <w:sz w:val="24"/>
        </w:rPr>
        <w:t>组织振兴：构建多元主体协同治理体系</w:t>
      </w:r>
    </w:p>
    <w:p w14:paraId="5CB1A479">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在湾坞镇，任何脱离了工业园区这一最强大组织的治理框架都将是低效的。因此，组织振兴必须进行结构性创新，构建一个能够正式吸纳所有关键利益相关方的协同治理体系。</w:t>
      </w:r>
    </w:p>
    <w:p w14:paraId="40CEEFD3">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① 构建“园-地-村”协同治理委员会。不妨尝试成立一个常设的“湾坞镇发展协同治理委员会”，成员应包括工业园管委会、镇政府及各村集体推选出的村民代表。该委员会的核心职能是共同审议重大规划、协商解决争议、监督基金使用，使治理过程从单向命令或无序博弈，转变为多方参与、共建共享的合作过程。</w:t>
      </w:r>
    </w:p>
    <w:p w14:paraId="090E2E0B">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② 发展集体经济，力求承接园区配套服务。充分引导和扶持各村的集体经济组织进行现代化转型，通过市场化方式承接工业园区的配套服务需求，如园区绿化、物业管理、后勤餐饮等。这种模式不仅能为村集体创造一笔稳定收入，还能让乡村社区从工业发展过程中的“旁观者”转变为深度参与其中的“合作伙伴”。</w:t>
      </w:r>
    </w:p>
    <w:p w14:paraId="285971B5">
      <w:pPr>
        <w:pStyle w:val="16"/>
        <w:snapToGrid/>
        <w:spacing w:before="340" w:beforeAutospacing="0" w:after="330" w:afterAutospacing="0" w:line="576" w:lineRule="auto"/>
        <w:ind w:left="0" w:leftChars="0" w:right="0" w:rightChars="0" w:firstLine="0" w:firstLineChars="0"/>
        <w:jc w:val="center"/>
        <w:outlineLvl w:val="0"/>
        <w:rPr>
          <w:rFonts w:hint="eastAsia" w:ascii="Times New Roman" w:hAnsi="宋体" w:eastAsia="黑体" w:cs="宋体"/>
          <w:b/>
          <w:sz w:val="28"/>
          <w:lang w:val="en-US" w:eastAsia="zh-CN"/>
        </w:rPr>
      </w:pPr>
      <w:r>
        <w:rPr>
          <w:rFonts w:ascii="Times New Roman" w:eastAsia="黑体" w:hAnsiTheme="minorEastAsia"/>
          <w:b/>
          <w:bCs/>
          <w:sz w:val="28"/>
          <w:szCs w:val="28"/>
        </w:rPr>
        <w:t>3</w:t>
      </w:r>
      <w:r>
        <w:rPr>
          <w:rFonts w:ascii="Times New Roman" w:eastAsia="黑体" w:cs="宋体" w:hAnsiTheme="minorEastAsia"/>
          <w:b/>
          <w:sz w:val="28"/>
          <w:szCs w:val="28"/>
        </w:rPr>
        <w:t xml:space="preserve"> </w:t>
      </w:r>
      <w:r>
        <w:rPr>
          <w:rFonts w:hint="eastAsia" w:ascii="Times New Roman" w:eastAsia="黑体" w:cs="宋体" w:hAnsiTheme="minorEastAsia"/>
          <w:b/>
          <w:sz w:val="28"/>
          <w:szCs w:val="28"/>
        </w:rPr>
        <w:t xml:space="preserve"> 结论与</w:t>
      </w:r>
      <w:r>
        <w:rPr>
          <w:rFonts w:hint="eastAsia" w:ascii="Times New Roman" w:eastAsia="黑体" w:cs="宋体" w:hAnsiTheme="minorEastAsia"/>
          <w:b/>
          <w:sz w:val="28"/>
          <w:szCs w:val="28"/>
          <w:lang w:val="en-US" w:eastAsia="zh-CN"/>
        </w:rPr>
        <w:t>政策建议</w:t>
      </w:r>
    </w:p>
    <w:p w14:paraId="65FF773E">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576" w:leftChars="0" w:right="0" w:rightChars="0" w:hanging="576" w:firstLineChars="0"/>
        <w:jc w:val="both"/>
        <w:outlineLvl w:val="1"/>
        <w:rPr>
          <w:rFonts w:hint="eastAsia" w:ascii="Arial" w:hAnsi="Times New Roman" w:eastAsia="黑体" w:cs="Times New Roman"/>
          <w:b/>
          <w:bCs/>
          <w:kern w:val="2"/>
          <w:sz w:val="24"/>
          <w:szCs w:val="21"/>
          <w:lang w:val="en-US" w:eastAsia="zh-CN" w:bidi="ar-SA"/>
        </w:rPr>
      </w:pPr>
      <w:r>
        <w:rPr>
          <w:rFonts w:ascii="Arial" w:hAnsi="Times New Roman" w:eastAsia="黑体" w:cs="Times New Roman"/>
          <w:b/>
          <w:bCs/>
          <w:kern w:val="2"/>
          <w:sz w:val="24"/>
          <w:szCs w:val="21"/>
          <w:lang w:val="en-US" w:eastAsia="zh-CN" w:bidi="ar-SA"/>
        </w:rPr>
        <w:t xml:space="preserve">3.1  </w:t>
      </w:r>
      <w:r>
        <w:rPr>
          <w:rFonts w:hint="eastAsia" w:ascii="Arial" w:hAnsi="Times New Roman" w:eastAsia="黑体" w:cs="Times New Roman"/>
          <w:b/>
          <w:bCs w:val="0"/>
          <w:kern w:val="2"/>
          <w:sz w:val="24"/>
          <w:szCs w:val="21"/>
          <w:lang w:val="en-US" w:eastAsia="zh-CN" w:bidi="ar-SA"/>
        </w:rPr>
        <w:t>结论</w:t>
      </w:r>
    </w:p>
    <w:p w14:paraId="2218317B">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湾坞镇正是“产城融合”背景下工业化力量被极致放大的一个特殊样本，其现今的发展模式对于中国其他面临类似情况的地区具有深刻的启示意义。</w:t>
      </w:r>
    </w:p>
    <w:p w14:paraId="07483EA9">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湾坞镇乡村振兴的核心症结在于工业化与乡村传统生产生活方式之间发生冲突，并由此形成了剧烈的人地关系矛盾。成功的振兴战略必须是一项以重塑人地关系为中心目标的系统工程，本文提出的整合性路径正旨在推动湾坞镇从工业与乡村的“二元并存”，走向产业、城镇、乡村“三位一体”的融合共荣，探索出一个可持续的“产城村”发展新范式。</w:t>
      </w:r>
    </w:p>
    <w:p w14:paraId="63099EF2">
      <w:pPr>
        <w:snapToGrid/>
        <w:spacing w:beforeAutospacing="0" w:afterAutospacing="0" w:line="336" w:lineRule="auto"/>
        <w:ind w:right="0" w:rightChars="0"/>
        <w:jc w:val="both"/>
        <w:rPr>
          <w:rFonts w:hint="eastAsia" w:ascii="Times New Roman" w:eastAsia="宋体" w:cs="方正书宋简体" w:hAnsiTheme="minorHAnsi"/>
          <w:kern w:val="2"/>
          <w:sz w:val="24"/>
          <w:lang w:val="en-US" w:eastAsia="zh-CN" w:bidi="ar-SA"/>
        </w:rPr>
      </w:pPr>
    </w:p>
    <w:p w14:paraId="727DCC58">
      <w:pPr>
        <w:pBdr>
          <w:top w:val="none" w:color="auto" w:sz="0" w:space="0"/>
          <w:left w:val="none" w:color="auto" w:sz="0" w:space="0"/>
          <w:bottom w:val="none" w:color="auto" w:sz="0" w:space="0"/>
          <w:right w:val="none" w:color="auto" w:sz="0" w:space="0"/>
          <w:between w:val="none" w:color="auto" w:sz="0" w:space="0"/>
        </w:pBdr>
        <w:shd w:val="clear" w:fill="auto"/>
        <w:snapToGrid/>
        <w:spacing w:before="260" w:beforeAutospacing="0" w:after="260" w:afterAutospacing="0" w:line="412" w:lineRule="auto"/>
        <w:ind w:left="576" w:leftChars="0" w:right="0" w:rightChars="0" w:hanging="576" w:firstLineChars="0"/>
        <w:jc w:val="both"/>
        <w:outlineLvl w:val="1"/>
        <w:rPr>
          <w:rFonts w:hint="default" w:ascii="Arial" w:hAnsi="Times New Roman" w:eastAsia="黑体" w:cs="Times New Roman"/>
          <w:b/>
          <w:bCs/>
          <w:kern w:val="2"/>
          <w:sz w:val="24"/>
          <w:szCs w:val="21"/>
          <w:lang w:val="en-US" w:eastAsia="zh-CN" w:bidi="ar-SA"/>
        </w:rPr>
      </w:pPr>
      <w:r>
        <w:rPr>
          <w:rFonts w:ascii="Arial" w:hAnsi="Times New Roman" w:eastAsia="黑体" w:cs="Times New Roman"/>
          <w:b/>
          <w:bCs/>
          <w:kern w:val="2"/>
          <w:sz w:val="24"/>
          <w:szCs w:val="21"/>
          <w:lang w:val="en-US" w:eastAsia="zh-CN" w:bidi="ar-SA"/>
        </w:rPr>
        <w:t>3.</w:t>
      </w:r>
      <w:r>
        <w:rPr>
          <w:rFonts w:hint="eastAsia" w:ascii="Arial" w:hAnsi="Times New Roman" w:eastAsia="黑体" w:cs="Times New Roman"/>
          <w:b/>
          <w:bCs/>
          <w:kern w:val="2"/>
          <w:sz w:val="24"/>
          <w:szCs w:val="21"/>
          <w:lang w:val="en-US" w:eastAsia="zh-CN" w:bidi="ar-SA"/>
        </w:rPr>
        <w:t>2</w:t>
      </w:r>
      <w:r>
        <w:rPr>
          <w:rFonts w:ascii="Arial" w:hAnsi="Times New Roman" w:eastAsia="黑体" w:cs="Times New Roman"/>
          <w:b/>
          <w:bCs/>
          <w:kern w:val="2"/>
          <w:sz w:val="24"/>
          <w:szCs w:val="21"/>
          <w:lang w:val="en-US" w:eastAsia="zh-CN" w:bidi="ar-SA"/>
        </w:rPr>
        <w:t xml:space="preserve">  </w:t>
      </w:r>
      <w:r>
        <w:rPr>
          <w:rFonts w:hint="eastAsia" w:ascii="Arial" w:hAnsi="Times New Roman" w:eastAsia="黑体" w:cs="Times New Roman"/>
          <w:b/>
          <w:bCs w:val="0"/>
          <w:kern w:val="2"/>
          <w:sz w:val="24"/>
          <w:szCs w:val="21"/>
          <w:lang w:val="en-US" w:eastAsia="zh-CN" w:bidi="ar-SA"/>
        </w:rPr>
        <w:t>政策建议</w:t>
      </w:r>
    </w:p>
    <w:p w14:paraId="1449966A">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为推动上述融合发展路径的实现，特提出以下政策建议：</w:t>
      </w:r>
    </w:p>
    <w:p w14:paraId="7A0EB3B2">
      <w:pPr>
        <w:snapToGrid/>
        <w:spacing w:beforeAutospacing="0" w:afterAutospacing="0" w:line="336" w:lineRule="auto"/>
        <w:ind w:left="0" w:leftChars="0" w:right="0" w:rightChars="0" w:firstLine="482" w:firstLineChars="0"/>
        <w:jc w:val="both"/>
        <w:rPr>
          <w:rFonts w:hint="default"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① 对宁德市及福安市级政府：应当强化顶层设计，牵头制定相关的协同治理与生态补偿办法，为协同治理委员会的建立和生态补偿基金的运行提供法律与政策依据；应当严守空间规划底线，严格执行国土空间规划，依法划定并严守永久基本农田、生态保护红线（特别是红树林保护区），从源头上遏制工业对农业和生态空间的无序侵占。</w:t>
      </w:r>
      <w:r>
        <w:rPr>
          <w:rFonts w:hint="eastAsia" w:ascii="Times New Roman" w:eastAsia="宋体" w:cs="方正书宋简体" w:hAnsiTheme="minorHAnsi"/>
          <w:kern w:val="2"/>
          <w:sz w:val="24"/>
          <w:vertAlign w:val="superscript"/>
          <w:lang w:val="en-US" w:eastAsia="zh-CN" w:bidi="ar-SA"/>
        </w:rPr>
        <w:t>[5]</w:t>
      </w:r>
    </w:p>
    <w:p w14:paraId="7A7034F4">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② 对湾坞工业园区内企业：应当树立“共生发展”理念，转变角色定位，从单纯的经济开发者，转变为乡村振兴的积极参与者和核心贡献者，将参与地方公共事务、支持乡村发展视为企业实现长期可持续发展的内在需求；应当投资社区融合发展，积极与地方政府合作，共同投资建设职业技能培训中心、开发文旅项目，以实际行动促进外来员工与本地居民的融合，培育社区认同感。</w:t>
      </w:r>
    </w:p>
    <w:p w14:paraId="3D87D7A5">
      <w:pPr>
        <w:snapToGrid/>
        <w:spacing w:beforeAutospacing="0" w:afterAutospacing="0" w:line="336" w:lineRule="auto"/>
        <w:ind w:left="0" w:leftChars="0" w:right="0" w:rightChars="0" w:firstLine="482" w:firstLine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③ 对湾坞镇政府及各村集体：应当强化组织能力建设、积极作为，加快村级集体经济组织的现代化转型，提升其专业化服务能力和市场谈判能力，使其能够成为工业园区合格的合作伙伴；善用本土资产，充分认识本地生态与特色农业资产的独特价值，在新的协同治理框架下，将其作为与工业资本进行平等对话和利益博弈的重要筹码，为乡村争取更大的发展空间。</w:t>
      </w:r>
    </w:p>
    <w:p w14:paraId="7A215342">
      <w:pPr>
        <w:pStyle w:val="16"/>
        <w:snapToGrid/>
        <w:spacing w:before="340" w:beforeAutospacing="0" w:after="330" w:afterAutospacing="0" w:line="576" w:lineRule="auto"/>
        <w:ind w:left="0" w:leftChars="0" w:right="0" w:rightChars="0" w:firstLine="0" w:firstLineChars="0"/>
        <w:jc w:val="center"/>
        <w:outlineLvl w:val="0"/>
        <w:rPr>
          <w:rFonts w:hint="default" w:ascii="Times New Roman" w:hAnsi="宋体" w:eastAsia="黑体" w:cs="宋体"/>
          <w:b/>
          <w:sz w:val="28"/>
          <w:lang w:val="en-US" w:eastAsia="zh-CN"/>
        </w:rPr>
      </w:pPr>
      <w:r>
        <w:rPr>
          <w:rFonts w:hint="eastAsia" w:eastAsia="黑体" w:hAnsiTheme="minorEastAsia"/>
          <w:b/>
          <w:bCs/>
          <w:sz w:val="28"/>
          <w:szCs w:val="28"/>
          <w:lang w:val="en-US" w:eastAsia="zh-CN"/>
        </w:rPr>
        <w:t>4</w:t>
      </w:r>
      <w:r>
        <w:rPr>
          <w:rFonts w:ascii="Times New Roman" w:eastAsia="黑体" w:cs="宋体" w:hAnsiTheme="minorEastAsia"/>
          <w:b/>
          <w:sz w:val="28"/>
          <w:szCs w:val="28"/>
        </w:rPr>
        <w:t xml:space="preserve"> </w:t>
      </w:r>
      <w:r>
        <w:rPr>
          <w:rFonts w:hint="eastAsia" w:ascii="Times New Roman" w:eastAsia="黑体" w:cs="宋体" w:hAnsiTheme="minorEastAsia"/>
          <w:b/>
          <w:sz w:val="28"/>
          <w:szCs w:val="28"/>
        </w:rPr>
        <w:t xml:space="preserve"> </w:t>
      </w:r>
      <w:r>
        <w:rPr>
          <w:rFonts w:hint="eastAsia" w:eastAsia="黑体" w:cs="宋体" w:hAnsiTheme="minorEastAsia"/>
          <w:b/>
          <w:sz w:val="28"/>
          <w:szCs w:val="28"/>
          <w:lang w:val="en-US" w:eastAsia="zh-CN"/>
        </w:rPr>
        <w:t>参考文献及资料</w:t>
      </w:r>
    </w:p>
    <w:p w14:paraId="199B6D24">
      <w:pPr>
        <w:numPr>
          <w:ilvl w:val="0"/>
          <w:numId w:val="1"/>
        </w:numPr>
        <w:snapToGrid/>
        <w:spacing w:beforeAutospacing="0" w:afterAutospacing="0" w:line="336" w:lineRule="auto"/>
        <w:ind w:right="0" w:rightChars="0"/>
        <w:jc w:val="both"/>
        <w:rPr>
          <w:rFonts w:hint="eastAsia"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孙彦斐, 唐晓岚, 刘思源. 乡村文化景观保护的现实境遇及路径——基于“人地关系”的环境教育路径. 南京农业大学学报(社会科学版), 2020, 20(01): 117-126.</w:t>
      </w:r>
    </w:p>
    <w:p w14:paraId="1CF6C605">
      <w:pPr>
        <w:numPr>
          <w:ilvl w:val="0"/>
          <w:numId w:val="1"/>
        </w:numPr>
        <w:snapToGrid/>
        <w:spacing w:beforeAutospacing="0" w:afterAutospacing="0" w:line="336" w:lineRule="auto"/>
        <w:ind w:right="0" w:rightChars="0"/>
        <w:jc w:val="both"/>
        <w:rPr>
          <w:rFonts w:hint="default" w:ascii="Times New Roman" w:eastAsia="宋体" w:cs="方正书宋简体" w:hAnsiTheme="minorHAnsi"/>
          <w:kern w:val="2"/>
          <w:sz w:val="24"/>
          <w:lang w:val="en-US" w:eastAsia="zh-CN" w:bidi="ar-SA"/>
        </w:rPr>
      </w:pPr>
      <w:r>
        <w:rPr>
          <w:rFonts w:hint="eastAsia" w:ascii="none" w:hAnsi="none" w:eastAsia="宋体" w:cs="none"/>
          <w:i w:val="0"/>
          <w:iCs w:val="0"/>
          <w:caps w:val="0"/>
          <w:color w:val="333333"/>
          <w:spacing w:val="0"/>
          <w:sz w:val="24"/>
          <w:szCs w:val="24"/>
          <w:shd w:val="clear" w:fill="FFFFFF"/>
          <w:lang w:val="en-US" w:eastAsia="zh-CN"/>
        </w:rPr>
        <w:t xml:space="preserve">宁德市人民政府市长 </w:t>
      </w:r>
      <w:r>
        <w:rPr>
          <w:rFonts w:ascii="none" w:hAnsi="none" w:eastAsia="none" w:cs="none"/>
          <w:i w:val="0"/>
          <w:iCs w:val="0"/>
          <w:caps w:val="0"/>
          <w:color w:val="333333"/>
          <w:spacing w:val="0"/>
          <w:sz w:val="24"/>
          <w:szCs w:val="24"/>
          <w:shd w:val="clear" w:fill="FFFFFF"/>
        </w:rPr>
        <w:t>张永宁</w:t>
      </w:r>
      <w:r>
        <w:rPr>
          <w:rFonts w:hint="eastAsia" w:ascii="none" w:hAnsi="none" w:eastAsia="宋体" w:cs="none"/>
          <w:i w:val="0"/>
          <w:iCs w:val="0"/>
          <w:caps w:val="0"/>
          <w:color w:val="333333"/>
          <w:spacing w:val="0"/>
          <w:sz w:val="24"/>
          <w:szCs w:val="24"/>
          <w:shd w:val="clear" w:fill="FFFFFF"/>
          <w:lang w:val="en-US" w:eastAsia="zh-CN"/>
        </w:rPr>
        <w:t>. 《</w:t>
      </w:r>
      <w:r>
        <w:rPr>
          <w:rFonts w:hint="default" w:ascii="Times New Roman" w:eastAsia="宋体" w:cs="方正书宋简体" w:hAnsiTheme="minorHAnsi"/>
          <w:kern w:val="2"/>
          <w:sz w:val="24"/>
          <w:lang w:val="en-US" w:eastAsia="zh-CN" w:bidi="ar-SA"/>
        </w:rPr>
        <w:t>2025年宁德市政府工作报告</w:t>
      </w:r>
      <w:r>
        <w:rPr>
          <w:rFonts w:hint="eastAsia" w:ascii="Times New Roman" w:eastAsia="宋体" w:cs="方正书宋简体" w:hAnsiTheme="minorHAnsi"/>
          <w:kern w:val="2"/>
          <w:sz w:val="24"/>
          <w:lang w:val="en-US" w:eastAsia="zh-CN" w:bidi="ar-SA"/>
        </w:rPr>
        <w:t>》.</w:t>
      </w:r>
    </w:p>
    <w:p w14:paraId="25A1D8CD">
      <w:pPr>
        <w:numPr>
          <w:ilvl w:val="0"/>
          <w:numId w:val="1"/>
        </w:numPr>
        <w:snapToGrid/>
        <w:spacing w:beforeAutospacing="0" w:afterAutospacing="0" w:line="336" w:lineRule="auto"/>
        <w:ind w:right="0" w:rightChars="0"/>
        <w:jc w:val="both"/>
        <w:rPr>
          <w:rFonts w:hint="default" w:ascii="Times New Roman" w:eastAsia="宋体" w:cs="方正书宋简体" w:hAnsiTheme="minorHAnsi"/>
          <w:kern w:val="2"/>
          <w:sz w:val="24"/>
          <w:lang w:val="en-US" w:eastAsia="zh-CN" w:bidi="ar-SA"/>
        </w:rPr>
      </w:pPr>
      <w:r>
        <w:rPr>
          <w:rFonts w:hint="default" w:ascii="Times New Roman" w:eastAsia="宋体" w:cs="方正书宋简体" w:hAnsiTheme="minorHAnsi"/>
          <w:kern w:val="2"/>
          <w:sz w:val="24"/>
          <w:lang w:val="en-US" w:eastAsia="zh-CN" w:bidi="ar-SA"/>
        </w:rPr>
        <w:t>吴文智, 乔萌. 乡村旅游外来经营者研究进展：基于中国制度情境的一般逻辑. 人文地理, 2023, 38(3): 21-28, 191. DOI: 10.13959/j.issn.1003-2398.2023.03.003.</w:t>
      </w:r>
    </w:p>
    <w:p w14:paraId="358871D2">
      <w:pPr>
        <w:numPr>
          <w:ilvl w:val="0"/>
          <w:numId w:val="1"/>
        </w:numPr>
        <w:snapToGrid/>
        <w:spacing w:beforeAutospacing="0" w:afterAutospacing="0" w:line="336" w:lineRule="auto"/>
        <w:ind w:right="0" w:rightChars="0"/>
        <w:jc w:val="both"/>
        <w:rPr>
          <w:rFonts w:hint="default" w:ascii="Times New Roman" w:eastAsia="宋体" w:cs="方正书宋简体" w:hAnsiTheme="minorHAnsi"/>
          <w:kern w:val="2"/>
          <w:sz w:val="24"/>
          <w:lang w:val="en-US" w:eastAsia="zh-CN" w:bidi="ar-SA"/>
        </w:rPr>
      </w:pPr>
      <w:r>
        <w:rPr>
          <w:rFonts w:hint="default" w:ascii="Times New Roman" w:eastAsia="宋体" w:cs="方正书宋简体" w:hAnsiTheme="minorHAnsi"/>
          <w:kern w:val="2"/>
          <w:sz w:val="24"/>
          <w:lang w:val="en-US" w:eastAsia="zh-CN" w:bidi="ar-SA"/>
        </w:rPr>
        <w:t>张韫,廖宝文.我国红树林湿地生态修复技术研究现状分析[J].中国科学基金, 2022, 36(3):412-419.</w:t>
      </w:r>
    </w:p>
    <w:p w14:paraId="0991A23D">
      <w:pPr>
        <w:numPr>
          <w:ilvl w:val="0"/>
          <w:numId w:val="1"/>
        </w:numPr>
        <w:snapToGrid/>
        <w:spacing w:beforeAutospacing="0" w:afterAutospacing="0" w:line="336" w:lineRule="auto"/>
        <w:ind w:right="0" w:rightChars="0"/>
        <w:jc w:val="both"/>
        <w:rPr>
          <w:rFonts w:hint="default" w:ascii="Times New Roman" w:eastAsia="宋体" w:cs="方正书宋简体" w:hAnsiTheme="minorHAnsi"/>
          <w:kern w:val="2"/>
          <w:sz w:val="24"/>
          <w:lang w:val="en-US" w:eastAsia="zh-CN" w:bidi="ar-SA"/>
        </w:rPr>
      </w:pPr>
      <w:r>
        <w:rPr>
          <w:rFonts w:hint="eastAsia" w:ascii="Times New Roman" w:eastAsia="宋体" w:cs="方正书宋简体" w:hAnsiTheme="minorHAnsi"/>
          <w:kern w:val="2"/>
          <w:sz w:val="24"/>
          <w:lang w:val="en-US" w:eastAsia="zh-CN" w:bidi="ar-SA"/>
        </w:rPr>
        <w:t>福安市人民政府. 《福安市</w:t>
      </w:r>
      <w:r>
        <w:rPr>
          <w:rFonts w:hint="default" w:ascii="Times New Roman" w:eastAsia="宋体" w:cs="方正书宋简体" w:hAnsiTheme="minorHAnsi"/>
          <w:kern w:val="2"/>
          <w:sz w:val="24"/>
          <w:lang w:val="en-US" w:eastAsia="zh-CN" w:bidi="ar-SA"/>
        </w:rPr>
        <w:t>国土空间总体规划（2021—2035年）</w:t>
      </w:r>
      <w:r>
        <w:rPr>
          <w:rFonts w:hint="eastAsia" w:ascii="Times New Roman" w:eastAsia="宋体" w:cs="方正书宋简体" w:hAnsiTheme="minorHAnsi"/>
          <w:kern w:val="2"/>
          <w:sz w:val="24"/>
          <w:lang w:val="en-US" w:eastAsia="zh-CN" w:bidi="ar-SA"/>
        </w:rPr>
        <w:t>》.</w: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B80C548E-4ABC-42E4-8262-E6AF41394900}"/>
  </w:font>
  <w:font w:name="黑体">
    <w:panose1 w:val="02010609060101010101"/>
    <w:charset w:val="86"/>
    <w:family w:val="auto"/>
    <w:pitch w:val="default"/>
    <w:sig w:usb0="800002BF" w:usb1="38CF7CFA" w:usb2="00000016" w:usb3="00000000" w:csb0="00040001" w:csb1="00000000"/>
    <w:embedRegular r:id="rId2" w:fontKey="{5755C7FA-4FEA-4805-9EDD-F37C95B1DF75}"/>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turday Sans Regular">
    <w:panose1 w:val="02010600010101010101"/>
    <w:charset w:val="86"/>
    <w:family w:val="auto"/>
    <w:pitch w:val="default"/>
    <w:sig w:usb0="00000001" w:usb1="080E0000" w:usb2="00000000" w:usb3="00000000" w:csb0="00040000" w:csb1="00000000"/>
    <w:embedRegular r:id="rId3" w:fontKey="{75072A88-BDE4-49CC-9643-763F67D74C13}"/>
  </w:font>
  <w:font w:name="Cambria">
    <w:panose1 w:val="02040503050406030204"/>
    <w:charset w:val="00"/>
    <w:family w:val="roman"/>
    <w:pitch w:val="default"/>
    <w:sig w:usb0="E00006FF" w:usb1="420024FF" w:usb2="02000000" w:usb3="00000000" w:csb0="2000019F" w:csb1="00000000"/>
    <w:embedRegular r:id="rId4" w:fontKey="{ECCF5741-727F-4154-B0E8-5CC4AF40B24C}"/>
  </w:font>
  <w:font w:name="方正书宋简体">
    <w:panose1 w:val="02000000000000000000"/>
    <w:charset w:val="86"/>
    <w:family w:val="roman"/>
    <w:pitch w:val="default"/>
    <w:sig w:usb0="A00002BF" w:usb1="184F6CFA" w:usb2="00000012" w:usb3="00000000" w:csb0="00040001" w:csb1="00000000"/>
    <w:embedRegular r:id="rId5" w:fontKey="{B0AD20F3-21FF-4991-B641-5555D7491D6E}"/>
  </w:font>
  <w:font w:name="none">
    <w:altName w:val="Times New Roman"/>
    <w:panose1 w:val="00000000000000000000"/>
    <w:charset w:val="00"/>
    <w:family w:val="auto"/>
    <w:pitch w:val="default"/>
    <w:sig w:usb0="00000000" w:usb1="00000000" w:usb2="00000000" w:usb3="00000000" w:csb0="00000000" w:csb1="00000000"/>
    <w:embedRegular r:id="rId6" w:fontKey="{13D851CF-8F95-4CBF-A4ED-B2B0DC9753A5}"/>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2E921"/>
    <w:multiLevelType w:val="singleLevel"/>
    <w:tmpl w:val="8182E92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TrueTypeFonts/>
  <w:saveSubsetFonts/>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compatSetting w:name="compatibilityMode" w:uri="http://schemas.microsoft.com/office/word" w:val="15"/>
  </w:compat>
  <w:rsids>
    <w:rsidRoot w:val="00000000"/>
    <w:rsid w:val="4DBA4195"/>
    <w:rsid w:val="4EC15A64"/>
    <w:rsid w:val="58150BC0"/>
    <w:rsid w:val="59AD6BD6"/>
    <w:rsid w:val="59DF6902"/>
    <w:rsid w:val="5E5E67CC"/>
    <w:rsid w:val="67A41618"/>
    <w:rsid w:val="6B1C7661"/>
    <w:rsid w:val="6C1440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pageBreakBefore w:val="0"/>
      <w:spacing w:before="480" w:after="120"/>
    </w:pPr>
    <w:rPr>
      <w:b/>
      <w:sz w:val="72"/>
      <w:szCs w:val="72"/>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Normal"/>
    <w:uiPriority w:val="0"/>
  </w:style>
  <w:style w:type="table" w:customStyle="1" w:styleId="15">
    <w:name w:val="_Style 10"/>
    <w:basedOn w:val="14"/>
    <w:uiPriority w:val="0"/>
    <w:tblPr>
      <w:tblCellMar>
        <w:top w:w="100" w:type="dxa"/>
        <w:left w:w="100" w:type="dxa"/>
        <w:bottom w:w="100" w:type="dxa"/>
        <w:right w:w="100" w:type="dxa"/>
      </w:tblCellMar>
    </w:tblPr>
  </w:style>
  <w:style w:type="paragraph" w:customStyle="1" w:styleId="16">
    <w:name w:val="一级标题"/>
    <w:qFormat/>
    <w:uiPriority w:val="99"/>
    <w:pPr>
      <w:spacing w:before="240" w:after="240"/>
      <w:outlineLvl w:val="0"/>
    </w:pPr>
    <w:rPr>
      <w:rFonts w:ascii="Times New Roman" w:hAnsi="Times New Roman" w:eastAsia="宋体" w:cs="Times New Roman"/>
      <w:kern w:val="2"/>
      <w:sz w:val="24"/>
      <w:szCs w:val="24"/>
      <w:lang w:val="en-US" w:eastAsia="zh-CN" w:bidi="ar-SA"/>
    </w:rPr>
  </w:style>
  <w:style w:type="paragraph" w:customStyle="1" w:styleId="17">
    <w:name w:val="二级标题"/>
    <w:qFormat/>
    <w:uiPriority w:val="99"/>
    <w:pPr>
      <w:tabs>
        <w:tab w:val="left" w:pos="720"/>
      </w:tabs>
      <w:spacing w:before="160" w:after="160"/>
      <w:outlineLvl w:val="1"/>
    </w:pPr>
    <w:rPr>
      <w:rFonts w:ascii="Times New Roman" w:hAnsi="Times New Roman" w:eastAsia="黑体" w:cs="Times New Roman"/>
      <w:kern w:val="2"/>
      <w:sz w:val="21"/>
      <w:szCs w:val="21"/>
      <w:lang w:val="en-US" w:eastAsia="zh-CN" w:bidi="ar-SA"/>
    </w:rPr>
  </w:style>
  <w:style w:type="paragraph" w:customStyle="1" w:styleId="18">
    <w:name w:val="三级标题"/>
    <w:qFormat/>
    <w:uiPriority w:val="99"/>
    <w:pPr>
      <w:outlineLvl w:val="3"/>
    </w:pPr>
    <w:rPr>
      <w:rFonts w:ascii="Times New Roman" w:hAnsi="Times New Roman" w:eastAsia="黑体" w:cs="Times New Roman"/>
      <w:kern w:val="2"/>
      <w:sz w:val="21"/>
      <w:szCs w:val="21"/>
      <w:lang w:val="en-US" w:eastAsia="zh-CN" w:bidi="ar-SA"/>
    </w:rPr>
  </w:style>
  <w:style w:type="paragraph" w:customStyle="1" w:styleId="19">
    <w:name w:val="中文摘要"/>
    <w:qFormat/>
    <w:uiPriority w:val="99"/>
    <w:pPr>
      <w:spacing w:beforeLines="100"/>
      <w:ind w:left="454" w:right="454"/>
    </w:pPr>
    <w:rPr>
      <w:rFonts w:ascii="Times New Roman" w:hAnsi="Times New Roman" w:eastAsia="宋体" w:cs="Times New Roman"/>
      <w:kern w:val="2"/>
      <w:sz w:val="18"/>
      <w:szCs w:val="18"/>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Words>5294</Words>
  <Characters>5480</Characters>
  <TotalTime>9</TotalTime>
  <ScaleCrop>false</ScaleCrop>
  <LinksUpToDate>false</LinksUpToDate>
  <CharactersWithSpaces>5560</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2025-06-18T12:37:00Z</dcterms:created>
  <dc:creator>Xuan</dc:creator>
  <cp:lastModifiedBy>许愿</cp:lastModifiedBy>
  <dcterms:modified xsi:type="dcterms:W3CDTF">2025-07-06T08:12:19Z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eyJoZGlkIjoiYTBmYjcwZTEwNGE2ZjUzN2UyYWZlNTlhNmRjNWUzYjUiLCJ1c2VySWQiOiI2MTM2Nzk2MDYifQ==</vt:lpwstr>
  </property>
  <property fmtid="{D5CDD505-2E9C-101B-9397-08002B2CF9AE}" pid="3" name="KSOProductBuildVer">
    <vt:lpwstr>2052-12.1.0.21915</vt:lpwstr>
  </property>
  <property fmtid="{D5CDD505-2E9C-101B-9397-08002B2CF9AE}" pid="4" name="ICV">
    <vt:lpwstr>FBB3551932424F818D5D95766B6A66D3_12</vt:lpwstr>
  </property>
</Properties>
</file>