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D3709">
      <w:pPr>
        <w:jc w:val="center"/>
        <w:rPr>
          <w:rFonts w:ascii="Times New Roman" w:hAnsi="Times New Roman"/>
          <w:b/>
          <w:bCs/>
          <w:sz w:val="13"/>
          <w:szCs w:val="24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INCLUDEPICTURE "http://www.fjnu.edu.cn/contents/xxgk/jrsd/images/2.gif" \* MERGEFORMATINET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INCLUDEPICTURE  "http://www.fjnu.edu.cn/contents/xxgk/jrsd/images/2.gif" \* MERGEFORMATINET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pict>
          <v:shape id="_x0000_i1025" o:spt="75" type="#_x0000_t75" style="height:49.5pt;width:244.5pt;" filled="f" o:preferrelative="t" stroked="f" coordsize="21600,21600">
            <v:path/>
            <v:fill on="f" focussize="0,0"/>
            <v:stroke on="f" joinstyle="miter"/>
            <v:imagedata r:id="rId10" r:href="rId11" cropleft="21255f" cropbottom="24936f" o:title=""/>
            <o:lock v:ext="edit" aspectratio="t"/>
            <w10:wrap type="none"/>
            <w10:anchorlock/>
          </v:shape>
        </w:pic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fldChar w:fldCharType="end"/>
      </w:r>
    </w:p>
    <w:p w14:paraId="69170486">
      <w:pPr>
        <w:spacing w:line="400" w:lineRule="atLeast"/>
        <w:jc w:val="center"/>
        <w:rPr>
          <w:rFonts w:ascii="Times New Roman" w:hAnsi="Times New Roman" w:eastAsia="黑体"/>
          <w:b/>
          <w:bCs/>
          <w:sz w:val="48"/>
          <w:szCs w:val="48"/>
        </w:rPr>
      </w:pPr>
    </w:p>
    <w:p w14:paraId="0C3C5880">
      <w:pPr>
        <w:spacing w:line="400" w:lineRule="atLeast"/>
        <w:jc w:val="center"/>
        <w:rPr>
          <w:rFonts w:ascii="Times New Roman" w:hAnsi="Times New Roman"/>
          <w:b/>
          <w:bCs/>
          <w:sz w:val="32"/>
          <w:szCs w:val="48"/>
        </w:rPr>
      </w:pPr>
      <w:r>
        <w:rPr>
          <w:rFonts w:hint="eastAsia" w:ascii="Times New Roman" w:hAnsi="Times New Roman" w:eastAsia="黑体"/>
          <w:b/>
          <w:bCs/>
          <w:sz w:val="48"/>
          <w:szCs w:val="48"/>
        </w:rPr>
        <w:t>地理科学</w:t>
      </w:r>
      <w:r>
        <w:rPr>
          <w:rFonts w:ascii="Times New Roman" w:hAnsi="Times New Roman" w:eastAsia="黑体"/>
          <w:b/>
          <w:bCs/>
          <w:sz w:val="48"/>
          <w:szCs w:val="48"/>
        </w:rPr>
        <w:t>学院</w:t>
      </w:r>
      <w:r>
        <w:rPr>
          <w:rFonts w:hint="eastAsia" w:ascii="Times New Roman" w:hAnsi="Times New Roman" w:eastAsia="黑体"/>
          <w:b/>
          <w:bCs/>
          <w:sz w:val="48"/>
          <w:szCs w:val="48"/>
        </w:rPr>
        <w:t>、碳中和未来技术学院</w:t>
      </w:r>
    </w:p>
    <w:p w14:paraId="38CAC607">
      <w:pPr>
        <w:spacing w:line="400" w:lineRule="atLeast"/>
        <w:jc w:val="center"/>
        <w:rPr>
          <w:rFonts w:ascii="Times New Roman" w:hAnsi="Times New Roman" w:eastAsia="黑体"/>
          <w:b/>
          <w:bCs/>
          <w:sz w:val="48"/>
          <w:szCs w:val="24"/>
        </w:rPr>
      </w:pPr>
    </w:p>
    <w:p w14:paraId="72AEDC24">
      <w:pPr>
        <w:adjustRightInd w:val="0"/>
        <w:snapToGrid w:val="0"/>
        <w:spacing w:line="400" w:lineRule="atLeast"/>
        <w:jc w:val="center"/>
        <w:outlineLvl w:val="0"/>
        <w:rPr>
          <w:rFonts w:ascii="Times New Roman" w:hAnsi="Times New Roman" w:eastAsia="黑体"/>
          <w:b/>
          <w:bCs/>
          <w:sz w:val="48"/>
          <w:szCs w:val="24"/>
        </w:rPr>
      </w:pPr>
      <w:bookmarkStart w:id="0" w:name="_Toc451160281"/>
      <w:bookmarkStart w:id="1" w:name="_Toc451361799"/>
      <w:bookmarkStart w:id="2" w:name="_Toc451255302"/>
      <w:bookmarkStart w:id="3" w:name="_Toc451160210"/>
      <w:bookmarkStart w:id="4" w:name="_Toc451159367"/>
      <w:bookmarkStart w:id="5" w:name="_Toc305003523"/>
      <w:bookmarkStart w:id="6" w:name="_Toc451160575"/>
      <w:bookmarkStart w:id="7" w:name="_Toc451240509"/>
      <w:bookmarkStart w:id="8" w:name="_Toc451162385"/>
      <w:bookmarkStart w:id="9" w:name="_Toc451073369"/>
      <w:bookmarkStart w:id="10" w:name="_Toc451934680"/>
      <w:bookmarkStart w:id="11" w:name="_Toc451160683"/>
      <w:bookmarkStart w:id="12" w:name="_Toc451337000"/>
      <w:bookmarkStart w:id="13" w:name="_Toc451160513"/>
      <w:bookmarkStart w:id="14" w:name="_Toc451773587"/>
      <w:bookmarkStart w:id="15" w:name="_Toc451074653"/>
      <w:bookmarkStart w:id="16" w:name="_Toc451684442"/>
      <w:bookmarkStart w:id="17" w:name="_Toc451683195"/>
      <w:bookmarkStart w:id="18" w:name="_Toc451786525"/>
      <w:r>
        <w:rPr>
          <w:rFonts w:ascii="Times New Roman" w:hAnsi="Times New Roman" w:eastAsia="黑体"/>
          <w:b/>
          <w:bCs/>
          <w:sz w:val="48"/>
          <w:szCs w:val="24"/>
        </w:rPr>
        <w:t xml:space="preserve">本 科 生 </w:t>
      </w:r>
      <w:r>
        <w:rPr>
          <w:rFonts w:hint="eastAsia" w:ascii="Times New Roman" w:hAnsi="Times New Roman" w:eastAsia="黑体"/>
          <w:b/>
          <w:bCs/>
          <w:sz w:val="48"/>
          <w:szCs w:val="24"/>
        </w:rPr>
        <w:t xml:space="preserve">课 程 </w:t>
      </w:r>
      <w:r>
        <w:rPr>
          <w:rFonts w:ascii="Times New Roman" w:hAnsi="Times New Roman" w:eastAsia="黑体"/>
          <w:b/>
          <w:bCs/>
          <w:sz w:val="48"/>
          <w:szCs w:val="24"/>
        </w:rPr>
        <w:t>论</w:t>
      </w:r>
      <w:r>
        <w:rPr>
          <w:rFonts w:hint="eastAsia" w:ascii="Times New Roman" w:hAnsi="Times New Roman" w:eastAsia="黑体"/>
          <w:b/>
          <w:bCs/>
          <w:sz w:val="48"/>
          <w:szCs w:val="24"/>
        </w:rPr>
        <w:t xml:space="preserve"> </w:t>
      </w:r>
      <w:r>
        <w:rPr>
          <w:rFonts w:ascii="Times New Roman" w:hAnsi="Times New Roman" w:eastAsia="黑体"/>
          <w:b/>
          <w:bCs/>
          <w:sz w:val="48"/>
          <w:szCs w:val="24"/>
        </w:rPr>
        <w:t>文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2130AE87">
      <w:pPr>
        <w:spacing w:line="400" w:lineRule="atLeast"/>
        <w:jc w:val="center"/>
        <w:rPr>
          <w:rFonts w:ascii="Times New Roman" w:hAnsi="Times New Roman" w:eastAsia="黑体"/>
          <w:b/>
          <w:bCs/>
          <w:sz w:val="48"/>
          <w:szCs w:val="24"/>
        </w:rPr>
      </w:pPr>
    </w:p>
    <w:p w14:paraId="5B9A7B6A">
      <w:pPr>
        <w:spacing w:line="400" w:lineRule="atLeast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hint="eastAsia" w:ascii="Times New Roman" w:hAnsi="Times New Roman" w:eastAsia="黑体"/>
          <w:b/>
          <w:bCs/>
          <w:sz w:val="48"/>
          <w:szCs w:val="24"/>
        </w:rPr>
        <w:t>《长时间序列叶面积指数产品不一致性及其环境遥感影响》</w:t>
      </w:r>
    </w:p>
    <w:p w14:paraId="673CDC68">
      <w:pPr>
        <w:spacing w:line="660" w:lineRule="auto"/>
        <w:ind w:firstLine="1057" w:firstLineChars="329"/>
        <w:rPr>
          <w:rFonts w:ascii="Times New Roman" w:hAnsi="Times New Roman"/>
          <w:b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题    目：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hint="eastAsia" w:ascii="Times New Roman" w:hAnsi="Times New Roman"/>
          <w:bCs/>
          <w:sz w:val="21"/>
          <w:szCs w:val="21"/>
          <w:u w:val="single"/>
        </w:rPr>
        <w:t>长时间序列叶面积指数产品不一致性及其环境遥感影响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</w:t>
      </w:r>
    </w:p>
    <w:p w14:paraId="4F7E3160">
      <w:pPr>
        <w:spacing w:line="660" w:lineRule="auto"/>
        <w:ind w:firstLine="1057" w:firstLineChars="329"/>
        <w:rPr>
          <w:rFonts w:ascii="Times New Roman" w:hAnsi="Times New Roman"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学    号：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  </w:t>
      </w:r>
      <w:r>
        <w:rPr>
          <w:rFonts w:hint="eastAsia" w:ascii="Times New Roman" w:hAnsi="Times New Roman"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 </w:t>
      </w:r>
    </w:p>
    <w:p w14:paraId="4785BE0F">
      <w:pPr>
        <w:spacing w:line="660" w:lineRule="auto"/>
        <w:ind w:firstLine="1057" w:firstLineChars="329"/>
        <w:rPr>
          <w:rFonts w:ascii="Times New Roman" w:hAnsi="Times New Roman"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姓    名：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</w:t>
      </w:r>
      <w:r>
        <w:rPr>
          <w:rFonts w:hint="eastAsia" w:ascii="Times New Roman" w:hAnsi="Times New Roman"/>
          <w:bCs/>
          <w:sz w:val="32"/>
          <w:szCs w:val="24"/>
          <w:u w:val="single"/>
          <w:lang w:val="en-US" w:eastAsia="zh-CN"/>
        </w:rPr>
        <w:t xml:space="preserve">  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</w:t>
      </w:r>
      <w:r>
        <w:rPr>
          <w:rFonts w:hint="eastAsia" w:ascii="Times New Roman" w:hAnsi="Times New Roman"/>
          <w:bCs/>
          <w:sz w:val="32"/>
          <w:szCs w:val="24"/>
          <w:u w:val="single"/>
          <w:lang w:val="en-US" w:eastAsia="zh-CN"/>
        </w:rPr>
        <w:t xml:space="preserve">  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</w:t>
      </w:r>
    </w:p>
    <w:p w14:paraId="68F68CBC">
      <w:pPr>
        <w:spacing w:line="660" w:lineRule="auto"/>
        <w:ind w:firstLine="1057" w:firstLineChars="329"/>
        <w:rPr>
          <w:rFonts w:ascii="Times New Roman" w:hAnsi="Times New Roman"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专业班级：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       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</w:t>
      </w:r>
    </w:p>
    <w:p w14:paraId="11706985">
      <w:pPr>
        <w:spacing w:line="660" w:lineRule="auto"/>
        <w:ind w:firstLine="1057" w:firstLineChars="329"/>
        <w:rPr>
          <w:rFonts w:ascii="Times New Roman" w:hAnsi="Times New Roman"/>
          <w:b/>
          <w:szCs w:val="24"/>
        </w:rPr>
      </w:pPr>
      <w:r>
        <w:rPr>
          <w:rFonts w:hint="eastAsia" w:ascii="Times New Roman" w:hAnsi="Times New Roman"/>
          <w:b/>
          <w:bCs/>
          <w:sz w:val="32"/>
          <w:szCs w:val="24"/>
        </w:rPr>
        <w:t>授课教师：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 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hint="eastAsia" w:ascii="Times New Roman" w:hAnsi="Times New Roman"/>
          <w:bCs/>
          <w:sz w:val="32"/>
          <w:szCs w:val="24"/>
          <w:u w:val="single"/>
          <w:lang w:val="en-US" w:eastAsia="zh-CN"/>
        </w:rPr>
        <w:t xml:space="preserve">   许明珠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     </w:t>
      </w:r>
    </w:p>
    <w:p w14:paraId="7E14A102">
      <w:pPr>
        <w:spacing w:line="660" w:lineRule="auto"/>
        <w:ind w:firstLine="1057" w:firstLineChars="329"/>
        <w:rPr>
          <w:rFonts w:ascii="Times New Roman" w:hAnsi="Times New Roman"/>
          <w:szCs w:val="24"/>
          <w:u w:val="single"/>
        </w:rPr>
      </w:pPr>
      <w:r>
        <w:rPr>
          <w:rFonts w:hint="eastAsia" w:ascii="Times New Roman" w:hAnsi="Times New Roman"/>
          <w:b/>
          <w:bCs/>
          <w:sz w:val="32"/>
          <w:szCs w:val="24"/>
        </w:rPr>
        <w:t>成绩</w:t>
      </w:r>
      <w:r>
        <w:rPr>
          <w:rFonts w:ascii="Times New Roman" w:hAnsi="Times New Roman"/>
          <w:b/>
          <w:bCs/>
          <w:sz w:val="32"/>
          <w:szCs w:val="24"/>
        </w:rPr>
        <w:t>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</w:t>
      </w:r>
      <w:r>
        <w:rPr>
          <w:rFonts w:hint="eastAsia" w:ascii="Times New Roman" w:hAnsi="Times New Roman"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sz w:val="32"/>
          <w:szCs w:val="32"/>
          <w:u w:color="000000"/>
        </w:rPr>
        <w:t>评阅日期</w:t>
      </w:r>
      <w:r>
        <w:rPr>
          <w:rFonts w:ascii="Times New Roman" w:hAnsi="Times New Roman"/>
          <w:b/>
          <w:bCs/>
          <w:sz w:val="32"/>
          <w:szCs w:val="24"/>
        </w:rPr>
        <w:t>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</w:t>
      </w:r>
    </w:p>
    <w:p w14:paraId="353EB9AE">
      <w:pPr>
        <w:spacing w:line="660" w:lineRule="auto"/>
        <w:jc w:val="center"/>
        <w:rPr>
          <w:rFonts w:ascii="Times New Roman" w:hAnsi="Times New Roman"/>
          <w:b/>
          <w:bCs/>
          <w:sz w:val="32"/>
          <w:szCs w:val="24"/>
        </w:rPr>
      </w:pPr>
    </w:p>
    <w:p w14:paraId="2839D0D2">
      <w:pPr>
        <w:spacing w:line="660" w:lineRule="auto"/>
        <w:jc w:val="center"/>
        <w:rPr>
          <w:rFonts w:ascii="Times New Roman" w:hAnsi="Times New Roman" w:eastAsia="黑体" w:cs="黑体"/>
          <w:sz w:val="36"/>
          <w:szCs w:val="36"/>
        </w:rPr>
      </w:pPr>
      <w:r>
        <w:rPr>
          <w:rFonts w:ascii="Times New Roman" w:hAnsi="Times New Roman"/>
          <w:b/>
          <w:bCs/>
          <w:sz w:val="32"/>
          <w:szCs w:val="24"/>
        </w:rPr>
        <w:t>202</w:t>
      </w:r>
      <w:r>
        <w:rPr>
          <w:rFonts w:hint="eastAsia" w:ascii="Times New Roman" w:hAnsi="Times New Roman"/>
          <w:b/>
          <w:bCs/>
          <w:sz w:val="32"/>
          <w:szCs w:val="24"/>
          <w:lang w:val="en-US" w:eastAsia="zh-CN"/>
        </w:rPr>
        <w:t>6</w:t>
      </w:r>
      <w:r>
        <w:rPr>
          <w:rFonts w:ascii="Times New Roman" w:hAnsi="Times New Roman"/>
          <w:b/>
          <w:bCs/>
          <w:sz w:val="32"/>
          <w:szCs w:val="24"/>
        </w:rPr>
        <w:t>年</w:t>
      </w:r>
      <w:r>
        <w:rPr>
          <w:rFonts w:hint="eastAsia" w:ascii="Times New Roman" w:hAnsi="Times New Roman"/>
          <w:b/>
          <w:bCs/>
          <w:sz w:val="32"/>
          <w:szCs w:val="24"/>
          <w:lang w:val="en-US" w:eastAsia="zh-CN"/>
        </w:rPr>
        <w:t>6</w:t>
      </w:r>
      <w:r>
        <w:rPr>
          <w:rFonts w:ascii="Times New Roman" w:hAnsi="Times New Roman"/>
          <w:b/>
          <w:bCs/>
          <w:sz w:val="32"/>
          <w:szCs w:val="24"/>
        </w:rPr>
        <w:t>月</w:t>
      </w:r>
      <w:r>
        <w:rPr>
          <w:rFonts w:cs="黑体"/>
        </w:rPr>
        <w:br w:type="page"/>
      </w:r>
    </w:p>
    <w:p w14:paraId="3D9CE116">
      <w:pPr>
        <w:pStyle w:val="34"/>
        <w:ind w:left="630" w:right="630"/>
      </w:pPr>
      <w:r>
        <w:rPr>
          <w:rFonts w:hint="eastAsia" w:cs="黑体"/>
        </w:rPr>
        <w:t>长时间序列叶面积指数产品不一致性</w:t>
      </w:r>
      <w:r>
        <w:rPr>
          <w:rFonts w:hint="eastAsia" w:cs="黑体"/>
        </w:rPr>
        <w:br w:type="textWrapping"/>
      </w:r>
      <w:r>
        <w:rPr>
          <w:rFonts w:hint="eastAsia" w:cs="黑体"/>
        </w:rPr>
        <w:t>及其环境遥感影响</w:t>
      </w:r>
    </w:p>
    <w:p w14:paraId="62A68F0F">
      <w:pPr>
        <w:pStyle w:val="38"/>
        <w:ind w:left="630" w:right="630"/>
        <w:rPr>
          <w:rFonts w:hint="default"/>
          <w:lang w:val="en-US"/>
        </w:rPr>
      </w:pPr>
      <w:r>
        <w:rPr>
          <w:rFonts w:hint="eastAsia" w:cs="华文仿宋"/>
          <w:lang w:val="en-US" w:eastAsia="zh-CN"/>
        </w:rPr>
        <w:t>XXX</w:t>
      </w:r>
    </w:p>
    <w:p w14:paraId="525AB053">
      <w:pPr>
        <w:pStyle w:val="98"/>
        <w:ind w:left="630" w:right="630"/>
        <w:rPr>
          <w:rFonts w:ascii="Times New Roman" w:hAnsi="Times New Roman" w:cs="Times New Roman"/>
        </w:rPr>
      </w:pPr>
      <w:r>
        <w:rPr>
          <w:rFonts w:hint="eastAsia" w:ascii="Times New Roman" w:hAnsi="Times New Roman" w:cs="宋体"/>
        </w:rPr>
        <w:t>（</w:t>
      </w:r>
      <w:r>
        <w:rPr>
          <w:rFonts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  <w:lang w:val="en-US" w:eastAsia="zh-CN"/>
        </w:rPr>
        <w:t>福建师范大学地理科学学院</w:t>
      </w:r>
      <w:r>
        <w:rPr>
          <w:rFonts w:hint="eastAsia" w:ascii="Times New Roman" w:hAnsi="Times New Roman" w:cs="宋体"/>
        </w:rPr>
        <w:t>，</w:t>
      </w:r>
      <w:r>
        <w:rPr>
          <w:rFonts w:hint="eastAsia" w:ascii="Times New Roman" w:hAnsi="Times New Roman" w:cs="宋体"/>
          <w:lang w:val="en-US" w:eastAsia="zh-CN"/>
        </w:rPr>
        <w:t>XXX</w:t>
      </w:r>
      <w:r>
        <w:rPr>
          <w:rFonts w:hint="eastAsia" w:ascii="Times New Roman" w:hAnsi="Times New Roman" w:cs="宋体"/>
        </w:rPr>
        <w:t>，</w:t>
      </w:r>
      <w:r>
        <w:rPr>
          <w:rFonts w:hint="eastAsia" w:ascii="Times New Roman" w:hAnsi="Times New Roman" w:cs="宋体"/>
          <w:lang w:val="en-US" w:eastAsia="zh-CN"/>
        </w:rPr>
        <w:t>XXXXX</w:t>
      </w:r>
      <w:bookmarkStart w:id="19" w:name="_GoBack"/>
      <w:bookmarkEnd w:id="19"/>
      <w:r>
        <w:rPr>
          <w:rFonts w:hint="eastAsia" w:ascii="Times New Roman" w:hAnsi="Times New Roman" w:cs="宋体"/>
          <w:lang w:val="en-US" w:eastAsia="zh-CN"/>
        </w:rPr>
        <w:t>XXXXXXX</w:t>
      </w:r>
      <w:r>
        <w:rPr>
          <w:rFonts w:hint="eastAsia" w:ascii="Times New Roman" w:hAnsi="Times New Roman" w:cs="宋体"/>
        </w:rPr>
        <w:t>）</w:t>
      </w:r>
    </w:p>
    <w:p w14:paraId="62463AF3">
      <w:pPr>
        <w:pStyle w:val="48"/>
        <w:spacing w:before="312"/>
        <w:ind w:left="630" w:right="630"/>
      </w:pPr>
      <w:r>
        <w:rPr>
          <w:rFonts w:hint="eastAsia" w:cs="宋体"/>
          <w:b/>
          <w:bCs/>
        </w:rPr>
        <w:t>摘要</w:t>
      </w:r>
      <w:r>
        <w:rPr>
          <w:rFonts w:hint="eastAsia" w:cs="宋体"/>
          <w:b/>
          <w:bCs/>
          <w:lang w:eastAsia="zh-CN"/>
        </w:rPr>
        <w:t>：</w:t>
      </w:r>
      <w:r>
        <w:t xml:space="preserve"> </w:t>
      </w:r>
      <w:r>
        <w:rPr>
          <w:rFonts w:hint="eastAsia" w:cs="宋体"/>
        </w:rPr>
        <w:t>叶面积指数（</w:t>
      </w:r>
      <w:r>
        <w:rPr>
          <w:rFonts w:hint="eastAsia" w:ascii="Times New Roman" w:hAnsi="Times New Roman" w:cs="宋体"/>
        </w:rPr>
        <w:t>leaf</w:t>
      </w:r>
      <w:r>
        <w:rPr>
          <w:rFonts w:hint="eastAsia" w:cs="宋体"/>
        </w:rPr>
        <w:t xml:space="preserve"> </w:t>
      </w:r>
      <w:r>
        <w:rPr>
          <w:rFonts w:hint="eastAsia" w:ascii="Times New Roman" w:hAnsi="Times New Roman" w:cs="宋体"/>
        </w:rPr>
        <w:t>area</w:t>
      </w:r>
      <w:r>
        <w:rPr>
          <w:rFonts w:hint="eastAsia" w:cs="宋体"/>
        </w:rPr>
        <w:t xml:space="preserve"> </w:t>
      </w:r>
      <w:r>
        <w:rPr>
          <w:rFonts w:hint="eastAsia" w:ascii="Times New Roman" w:hAnsi="Times New Roman" w:cs="宋体"/>
        </w:rPr>
        <w:t>index</w:t>
      </w:r>
      <w:r>
        <w:rPr>
          <w:rFonts w:hint="eastAsia" w:cs="宋体"/>
        </w:rPr>
        <w:t>，</w:t>
      </w:r>
      <w:r>
        <w:rPr>
          <w:rFonts w:hint="eastAsia" w:ascii="Times New Roman" w:hAnsi="Times New Roman" w:cs="宋体"/>
        </w:rPr>
        <w:t>LAI</w:t>
      </w:r>
      <w:r>
        <w:rPr>
          <w:rFonts w:hint="eastAsia" w:cs="宋体"/>
        </w:rPr>
        <w:t>）是描述植被冠层结构和生态功能的核心参数，也是环境遥感中连接卫星光谱观测、陆面过程模拟、碳循环研究和生态环境评价的重要变量。随着</w:t>
      </w:r>
      <w:r>
        <w:rPr>
          <w:rFonts w:hint="eastAsia" w:ascii="Times New Roman" w:hAnsi="Times New Roman" w:cs="宋体"/>
        </w:rPr>
        <w:t>NOAA</w:t>
      </w:r>
      <w:r>
        <w:rPr>
          <w:rFonts w:hint="eastAsia" w:cs="宋体"/>
        </w:rPr>
        <w:t>/</w:t>
      </w:r>
      <w:r>
        <w:rPr>
          <w:rFonts w:hint="eastAsia" w:ascii="Times New Roman" w:hAnsi="Times New Roman" w:cs="宋体"/>
        </w:rPr>
        <w:t>AVHRR</w:t>
      </w:r>
      <w:r>
        <w:rPr>
          <w:rFonts w:hint="eastAsia" w:cs="宋体"/>
        </w:rPr>
        <w:t>、</w:t>
      </w:r>
      <w:r>
        <w:rPr>
          <w:rFonts w:hint="eastAsia" w:ascii="Times New Roman" w:hAnsi="Times New Roman" w:cs="宋体"/>
        </w:rPr>
        <w:t>SPOT</w:t>
      </w:r>
      <w:r>
        <w:rPr>
          <w:rFonts w:hint="eastAsia" w:cs="宋体"/>
        </w:rPr>
        <w:t>/</w:t>
      </w:r>
      <w:r>
        <w:rPr>
          <w:rFonts w:hint="eastAsia" w:ascii="Times New Roman" w:hAnsi="Times New Roman" w:cs="宋体"/>
        </w:rPr>
        <w:t>VGT</w:t>
      </w:r>
      <w:r>
        <w:rPr>
          <w:rFonts w:hint="eastAsia" w:cs="宋体"/>
        </w:rPr>
        <w:t>、</w:t>
      </w:r>
      <w:r>
        <w:rPr>
          <w:rFonts w:hint="eastAsia" w:ascii="Times New Roman" w:hAnsi="Times New Roman" w:cs="宋体"/>
        </w:rPr>
        <w:t>Terra</w:t>
      </w:r>
      <w:r>
        <w:rPr>
          <w:rFonts w:hint="eastAsia" w:cs="宋体"/>
        </w:rPr>
        <w:t>/</w:t>
      </w:r>
      <w:r>
        <w:rPr>
          <w:rFonts w:hint="eastAsia" w:ascii="Times New Roman" w:hAnsi="Times New Roman" w:cs="宋体"/>
        </w:rPr>
        <w:t>MODIS</w:t>
      </w:r>
      <w:r>
        <w:rPr>
          <w:rFonts w:hint="eastAsia" w:cs="宋体"/>
        </w:rPr>
        <w:t>、</w:t>
      </w:r>
      <w:r>
        <w:rPr>
          <w:rFonts w:hint="eastAsia" w:ascii="Times New Roman" w:hAnsi="Times New Roman" w:cs="宋体"/>
        </w:rPr>
        <w:t>ENVISAT</w:t>
      </w:r>
      <w:r>
        <w:rPr>
          <w:rFonts w:hint="eastAsia" w:cs="宋体"/>
        </w:rPr>
        <w:t>/</w:t>
      </w:r>
      <w:r>
        <w:rPr>
          <w:rFonts w:hint="eastAsia" w:ascii="Times New Roman" w:hAnsi="Times New Roman" w:cs="宋体"/>
        </w:rPr>
        <w:t>MERIS</w:t>
      </w:r>
      <w:r>
        <w:rPr>
          <w:rFonts w:hint="eastAsia" w:cs="宋体"/>
        </w:rPr>
        <w:t>等卫星数据的长期积累，</w:t>
      </w:r>
      <w:r>
        <w:rPr>
          <w:rFonts w:hint="eastAsia" w:ascii="Times New Roman" w:hAnsi="Times New Roman" w:cs="宋体"/>
        </w:rPr>
        <w:t>GLASS</w:t>
      </w:r>
      <w:r>
        <w:rPr>
          <w:rFonts w:hint="eastAsia" w:cs="宋体"/>
        </w:rPr>
        <w:t>、</w:t>
      </w:r>
      <w:r>
        <w:rPr>
          <w:rFonts w:hint="eastAsia" w:ascii="Times New Roman" w:hAnsi="Times New Roman" w:cs="宋体"/>
        </w:rPr>
        <w:t>GLOBMAP</w:t>
      </w:r>
      <w:r>
        <w:rPr>
          <w:rFonts w:hint="eastAsia" w:cs="宋体"/>
        </w:rPr>
        <w:t>、</w:t>
      </w:r>
      <w:r>
        <w:rPr>
          <w:rFonts w:hint="eastAsia" w:ascii="Times New Roman" w:hAnsi="Times New Roman" w:cs="宋体"/>
        </w:rPr>
        <w:t>LAI3g</w:t>
      </w:r>
      <w:r>
        <w:rPr>
          <w:rFonts w:hint="eastAsia" w:cs="宋体"/>
        </w:rPr>
        <w:t>、</w:t>
      </w:r>
      <w:r>
        <w:rPr>
          <w:rFonts w:hint="eastAsia" w:ascii="Times New Roman" w:hAnsi="Times New Roman" w:cs="宋体"/>
        </w:rPr>
        <w:t>TCDR</w:t>
      </w:r>
      <w:r>
        <w:rPr>
          <w:rFonts w:hint="eastAsia" w:cs="宋体"/>
        </w:rPr>
        <w:t>、</w:t>
      </w:r>
      <w:r>
        <w:rPr>
          <w:rFonts w:hint="eastAsia" w:ascii="Times New Roman" w:hAnsi="Times New Roman" w:cs="宋体"/>
        </w:rPr>
        <w:t>GEOV1</w:t>
      </w:r>
      <w:r>
        <w:rPr>
          <w:rFonts w:hint="eastAsia" w:cs="宋体"/>
        </w:rPr>
        <w:t>、</w:t>
      </w:r>
      <w:r>
        <w:rPr>
          <w:rFonts w:hint="eastAsia" w:ascii="Times New Roman" w:hAnsi="Times New Roman" w:cs="宋体"/>
        </w:rPr>
        <w:t>MODIS</w:t>
      </w:r>
      <w:r>
        <w:rPr>
          <w:rFonts w:hint="eastAsia" w:cs="宋体"/>
        </w:rPr>
        <w:t xml:space="preserve"> </w:t>
      </w:r>
      <w:r>
        <w:rPr>
          <w:rFonts w:hint="eastAsia" w:ascii="Times New Roman" w:hAnsi="Times New Roman" w:cs="宋体"/>
        </w:rPr>
        <w:t>LAI</w:t>
      </w:r>
      <w:r>
        <w:rPr>
          <w:rFonts w:hint="eastAsia" w:cs="宋体"/>
        </w:rPr>
        <w:t>等全球或区域</w:t>
      </w:r>
      <w:r>
        <w:rPr>
          <w:rFonts w:hint="eastAsia" w:ascii="Times New Roman" w:hAnsi="Times New Roman" w:cs="宋体"/>
        </w:rPr>
        <w:t>LAI</w:t>
      </w:r>
      <w:r>
        <w:rPr>
          <w:rFonts w:hint="eastAsia" w:cs="宋体"/>
        </w:rPr>
        <w:t>产品不断发展，为分析全球植被变化、生态系统生产力、蒸散发、物候变化和陆地碳汇提供了基础数据。然而，长时间序列</w:t>
      </w:r>
      <w:r>
        <w:rPr>
          <w:rFonts w:hint="eastAsia" w:ascii="Times New Roman" w:hAnsi="Times New Roman" w:cs="宋体"/>
        </w:rPr>
        <w:t>LAI</w:t>
      </w:r>
      <w:r>
        <w:rPr>
          <w:rFonts w:hint="eastAsia" w:cs="宋体"/>
        </w:rPr>
        <w:t>产品并不是传感器的直接观测值，而是由辐射定标、大气校正、云雪剔除、</w:t>
      </w:r>
      <w:r>
        <w:rPr>
          <w:rFonts w:hint="eastAsia" w:ascii="Times New Roman" w:hAnsi="Times New Roman" w:cs="宋体"/>
        </w:rPr>
        <w:t>BRDF</w:t>
      </w:r>
      <w:r>
        <w:rPr>
          <w:rFonts w:hint="eastAsia" w:cs="宋体"/>
        </w:rPr>
        <w:t>处理、时间合成、经验关系、辐射传输模型或机器学习算法共同生成的定量遥感产品。不同产品在传感器来源、预处理方法、反演算法、训练样本、时间跨度和空间分辨</w:t>
      </w:r>
      <w:r>
        <w:rPr>
          <w:rFonts w:hint="eastAsia" w:cs="宋体"/>
          <w:lang w:eastAsia="zh-CN"/>
        </w:rPr>
        <w:t>率等</w:t>
      </w:r>
      <w:r>
        <w:rPr>
          <w:rFonts w:hint="eastAsia" w:cs="宋体"/>
        </w:rPr>
        <w:t>方面存在差异，导致其长期趋势、年际变率、季节振幅和不确定性并不完全一致。本文结合环境遥感课程中植被光谱特征、植被指数、参数反演、变化检测、尺度效应和生态遥感应用等内容，围绕长时间序列</w:t>
      </w:r>
      <w:r>
        <w:rPr>
          <w:rFonts w:hint="eastAsia" w:ascii="Times New Roman" w:hAnsi="Times New Roman" w:cs="宋体"/>
        </w:rPr>
        <w:t>LAI</w:t>
      </w:r>
      <w:r>
        <w:rPr>
          <w:rFonts w:hint="eastAsia" w:cs="宋体"/>
        </w:rPr>
        <w:t>产品不一致性展开综述。文章首先说明</w:t>
      </w:r>
      <w:r>
        <w:rPr>
          <w:rFonts w:hint="eastAsia" w:ascii="Times New Roman" w:hAnsi="Times New Roman" w:cs="宋体"/>
        </w:rPr>
        <w:t>LAI</w:t>
      </w:r>
      <w:r>
        <w:rPr>
          <w:rFonts w:hint="eastAsia" w:cs="宋体"/>
        </w:rPr>
        <w:t>的生态意义与遥感反演基础，其次梳理主要</w:t>
      </w:r>
      <w:r>
        <w:rPr>
          <w:rFonts w:hint="eastAsia" w:ascii="Times New Roman" w:hAnsi="Times New Roman" w:cs="宋体"/>
        </w:rPr>
        <w:t>LAI</w:t>
      </w:r>
      <w:r>
        <w:rPr>
          <w:rFonts w:hint="eastAsia" w:cs="宋体"/>
        </w:rPr>
        <w:t>产品和相关研究进展，再从数据源、算法、尺度、观测几何、地表异质性和验证体系等方面分析不一致性的形成机制，最后讨论其对全球变绿判断、碳循环模拟、生态恢复评价和环境管理应用的影响。本文认为，长时间序列</w:t>
      </w:r>
      <w:r>
        <w:rPr>
          <w:rFonts w:hint="eastAsia" w:ascii="Times New Roman" w:hAnsi="Times New Roman" w:cs="宋体"/>
        </w:rPr>
        <w:t>LAI</w:t>
      </w:r>
      <w:r>
        <w:rPr>
          <w:rFonts w:hint="eastAsia" w:cs="宋体"/>
        </w:rPr>
        <w:t>产品在环境遥感研究中具有不可替代的价值，但使用时不能将其简单视为“真实</w:t>
      </w:r>
      <w:r>
        <w:rPr>
          <w:rFonts w:hint="eastAsia" w:ascii="Times New Roman" w:hAnsi="Times New Roman" w:cs="宋体"/>
        </w:rPr>
        <w:t>LAI</w:t>
      </w:r>
      <w:r>
        <w:rPr>
          <w:rFonts w:hint="eastAsia" w:cs="宋体"/>
        </w:rPr>
        <w:t>”的等价物，而应结合研究区域、植被类型、时间阶段和应用目标进行产品选择、交叉比较和不确定性表达</w:t>
      </w:r>
      <w:r>
        <w:rPr>
          <w:rFonts w:hint="eastAsia"/>
        </w:rPr>
        <w:t>。</w:t>
      </w:r>
    </w:p>
    <w:p w14:paraId="5EFBBFCB">
      <w:pPr>
        <w:pStyle w:val="44"/>
        <w:ind w:left="630" w:right="630"/>
      </w:pPr>
      <w:r>
        <w:rPr>
          <w:rFonts w:hint="eastAsia" w:cs="宋体"/>
          <w:b/>
          <w:bCs/>
        </w:rPr>
        <w:t>关键词</w:t>
      </w:r>
      <w:r>
        <w:rPr>
          <w:rFonts w:hint="eastAsia" w:cs="宋体"/>
          <w:b/>
          <w:bCs/>
          <w:lang w:eastAsia="zh-CN"/>
        </w:rPr>
        <w:t>：</w:t>
      </w:r>
      <w:r>
        <w:t xml:space="preserve"> </w:t>
      </w:r>
      <w:r>
        <w:rPr>
          <w:rFonts w:hint="eastAsia" w:cs="宋体"/>
        </w:rPr>
        <w:t>环境遥感；叶面积指数；植被遥感；长时间序列；</w:t>
      </w:r>
      <w:r>
        <w:rPr>
          <w:rFonts w:hint="eastAsia" w:cs="宋体"/>
          <w:lang w:eastAsia="zh-CN"/>
        </w:rPr>
        <w:t>产品不一致性</w:t>
      </w:r>
      <w:r>
        <w:rPr>
          <w:rFonts w:hint="eastAsia" w:cs="宋体"/>
        </w:rPr>
        <w:t>；全球</w:t>
      </w:r>
      <w:r>
        <w:rPr>
          <w:rFonts w:hint="eastAsia" w:cs="宋体"/>
          <w:lang w:eastAsia="zh-CN"/>
        </w:rPr>
        <w:t>变化</w:t>
      </w:r>
    </w:p>
    <w:p w14:paraId="2EE914F8">
      <w:pPr>
        <w:pStyle w:val="54"/>
        <w:spacing w:before="468" w:beforeLines="150" w:after="312" w:afterLines="100"/>
        <w:rPr>
          <w:rFonts w:ascii="宋体" w:hAnsi="宋体" w:cs="宋体"/>
        </w:rPr>
      </w:pPr>
      <w:r>
        <w:rPr>
          <w:rFonts w:ascii="Times New Roman" w:hAnsi="Times New Roman" w:eastAsiaTheme="minorEastAsia"/>
          <w:b/>
          <w:bCs/>
          <w:sz w:val="28"/>
          <w:szCs w:val="28"/>
        </w:rPr>
        <w:t>1</w:t>
      </w:r>
      <w:r>
        <w:rPr>
          <w:rFonts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引言</w:t>
      </w:r>
    </w:p>
    <w:p w14:paraId="4999193C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环境遥感关注地球表层环境要素及其动态变化，具有多空间尺度、多时间尺度和多学科交叉的特点。植被是陆地生态系统中最活跃的组成部分之一，不仅决定地表反照率、粗糙度和能量交换过程，也深度参与水循环、碳循环和养分循环。因此，植被遥感既是环境遥感的重要内容，也是全球变化研究和生态环境管理的重要技术基础。</w:t>
      </w:r>
    </w:p>
    <w:p w14:paraId="683E07A5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在植被遥感中，</w:t>
      </w:r>
      <w:r>
        <w:rPr>
          <w:rFonts w:hint="eastAsia" w:ascii="Times New Roman" w:hAnsi="Times New Roman" w:cs="方正书宋简体"/>
        </w:rPr>
        <w:t>NDVI</w:t>
      </w:r>
      <w:r>
        <w:rPr>
          <w:rFonts w:hint="eastAsia" w:cs="方正书宋简体"/>
        </w:rPr>
        <w:t>、</w:t>
      </w:r>
      <w:r>
        <w:rPr>
          <w:rFonts w:hint="eastAsia" w:ascii="Times New Roman" w:hAnsi="Times New Roman" w:cs="方正书宋简体"/>
        </w:rPr>
        <w:t>EVI</w:t>
      </w:r>
      <w:r>
        <w:rPr>
          <w:rFonts w:hint="eastAsia" w:cs="方正书宋简体"/>
        </w:rPr>
        <w:t>、</w:t>
      </w:r>
      <w:r>
        <w:rPr>
          <w:rFonts w:hint="eastAsia" w:ascii="Times New Roman" w:hAnsi="Times New Roman" w:cs="方正书宋简体"/>
        </w:rPr>
        <w:t>SR</w:t>
      </w:r>
      <w:r>
        <w:rPr>
          <w:rFonts w:hint="eastAsia" w:cs="方正书宋简体"/>
        </w:rPr>
        <w:t>等植被指数能够较直观地反映植被覆盖与生长状态，但这些指数本质上仍是由红光、近红外或蓝光等波段组合得到的经验指标。相比之下，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具有更明确的生态学含义，通常定义为单位地表面积上绿色叶片单面面积总和，针叶林等特殊植被类型在定义和测量上还需进一步考虑针叶形态、叶片倾角和冠层聚集效应。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直接影响冠层对光合有效辐射的吸收、植被蒸腾、光合作用、干物质积累和生态系统碳固定，是陆面过程模型、生态系统模型和农林业生产模型中的关键</w:t>
      </w:r>
      <w:r>
        <w:rPr>
          <w:rFonts w:hint="eastAsia" w:cs="方正书宋简体"/>
          <w:lang w:eastAsia="zh-CN"/>
        </w:rPr>
        <w:t>状态变量</w:t>
      </w:r>
      <w:r>
        <w:rPr>
          <w:rFonts w:hint="eastAsia" w:cs="方正书宋简体"/>
        </w:rPr>
        <w:t>。</w:t>
      </w:r>
    </w:p>
    <w:p w14:paraId="2114A3B5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卫星遥感的优势在于能够对大范围地表进行重复观测。自</w:t>
      </w:r>
      <w:r>
        <w:rPr>
          <w:rFonts w:hint="eastAsia" w:ascii="Times New Roman" w:hAnsi="Times New Roman" w:cs="方正书宋简体"/>
        </w:rPr>
        <w:t>20</w:t>
      </w:r>
      <w:r>
        <w:rPr>
          <w:rFonts w:hint="eastAsia" w:cs="方正书宋简体"/>
        </w:rPr>
        <w:t>世纪</w:t>
      </w:r>
      <w:r>
        <w:rPr>
          <w:rFonts w:hint="eastAsia" w:ascii="Times New Roman" w:hAnsi="Times New Roman" w:cs="方正书宋简体"/>
        </w:rPr>
        <w:t>80</w:t>
      </w:r>
      <w:r>
        <w:rPr>
          <w:rFonts w:hint="eastAsia" w:cs="方正书宋简体"/>
        </w:rPr>
        <w:t>年代以来，</w:t>
      </w:r>
      <w:r>
        <w:rPr>
          <w:rFonts w:hint="eastAsia" w:ascii="Times New Roman" w:hAnsi="Times New Roman" w:cs="方正书宋简体"/>
        </w:rPr>
        <w:t>AVHRR</w:t>
      </w:r>
      <w:r>
        <w:rPr>
          <w:rFonts w:hint="eastAsia" w:cs="方正书宋简体"/>
        </w:rPr>
        <w:t>等传感器提供了长期全球植被观测资料；</w:t>
      </w:r>
      <w:r>
        <w:rPr>
          <w:rFonts w:hint="eastAsia" w:ascii="Times New Roman" w:hAnsi="Times New Roman" w:cs="方正书宋简体"/>
        </w:rPr>
        <w:t>2000</w:t>
      </w:r>
      <w:r>
        <w:rPr>
          <w:rFonts w:hint="eastAsia" w:cs="方正书宋简体"/>
        </w:rPr>
        <w:t>年以后，</w:t>
      </w:r>
      <w:r>
        <w:rPr>
          <w:rFonts w:hint="eastAsia" w:ascii="Times New Roman" w:hAnsi="Times New Roman" w:cs="方正书宋简体"/>
        </w:rPr>
        <w:t>MODIS</w:t>
      </w:r>
      <w:r>
        <w:rPr>
          <w:rFonts w:hint="eastAsia" w:cs="方正书宋简体"/>
        </w:rPr>
        <w:t>等传感器进一步提高了观测的光谱、辐射和时间质量；近年</w:t>
      </w:r>
      <w:r>
        <w:rPr>
          <w:rFonts w:hint="eastAsia" w:ascii="Times New Roman" w:hAnsi="Times New Roman" w:cs="方正书宋简体"/>
        </w:rPr>
        <w:t>Sentinel</w:t>
      </w:r>
      <w:r>
        <w:rPr>
          <w:rFonts w:hint="eastAsia" w:cs="方正书宋简体"/>
        </w:rPr>
        <w:t>、</w:t>
      </w:r>
      <w:r>
        <w:rPr>
          <w:rFonts w:hint="eastAsia" w:ascii="Times New Roman" w:hAnsi="Times New Roman" w:cs="方正书宋简体"/>
        </w:rPr>
        <w:t>VIIRS</w:t>
      </w:r>
      <w:r>
        <w:rPr>
          <w:rFonts w:hint="eastAsia" w:cs="方正书宋简体"/>
        </w:rPr>
        <w:t>、激光雷达和无人机遥感又不断拓展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监测的分辨率与应用场景。基于这些资料，研究者生产了多个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数据集，用于分析全球植被变绿、区域生态恢复、农业长势、森林碳汇和干旱扰动等问题。</w:t>
      </w:r>
    </w:p>
    <w:p w14:paraId="761E0ABD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但是，遥感产品的长期一致性始终是定量应用中的关键问题。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产品不是简单的影像波段，而是多源数据和模型反演的结果。只要传感器定标、轨道漂移、大气校正、云雪处理、</w:t>
      </w:r>
      <w:r>
        <w:rPr>
          <w:rFonts w:hint="eastAsia" w:ascii="Times New Roman" w:hAnsi="Times New Roman" w:cs="方正书宋简体"/>
        </w:rPr>
        <w:t>BRDF</w:t>
      </w:r>
      <w:r>
        <w:rPr>
          <w:rFonts w:hint="eastAsia" w:cs="方正书宋简体"/>
        </w:rPr>
        <w:t>效应、训练样本或反演算法存在差异，产品之间就可能出现系统偏差。对于短期监测而言，这种偏差可能主要表现为数值高低不同；对于长期趋势研究而言，它还可能改变对“变绿”或“变褐”的判断。</w:t>
      </w:r>
      <w:r>
        <w:rPr>
          <w:rFonts w:hint="eastAsia" w:ascii="Times New Roman" w:hAnsi="Times New Roman" w:cs="方正书宋简体"/>
        </w:rPr>
        <w:t>Jiang</w:t>
      </w:r>
      <w:r>
        <w:rPr>
          <w:rFonts w:hint="eastAsia" w:cs="方正书宋简体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</w:rPr>
        <w:t>1</w:t>
      </w:r>
      <w:r>
        <w:rPr>
          <w:rFonts w:hint="default" w:cs="方正书宋简体" w:asciiTheme="minorAscii" w:hAnsiTheme="minorAscii" w:eastAsiaTheme="minorEastAsia"/>
          <w:sz w:val="21"/>
          <w:vertAlign w:val="superscript"/>
        </w:rPr>
        <w:t>]</w:t>
      </w:r>
      <w:r>
        <w:rPr>
          <w:rFonts w:hint="eastAsia" w:cs="方正书宋简体"/>
        </w:rPr>
        <w:t>对多个长时间序列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产品的比较表明，</w:t>
      </w:r>
      <w:r>
        <w:rPr>
          <w:rFonts w:hint="eastAsia" w:ascii="Times New Roman" w:hAnsi="Times New Roman" w:cs="方正书宋简体"/>
        </w:rPr>
        <w:t>GLASS</w:t>
      </w:r>
      <w:r>
        <w:rPr>
          <w:rFonts w:hint="eastAsia" w:cs="方正书宋简体"/>
        </w:rPr>
        <w:t>、</w:t>
      </w:r>
      <w:r>
        <w:rPr>
          <w:rFonts w:hint="eastAsia" w:ascii="Times New Roman" w:hAnsi="Times New Roman" w:cs="方正书宋简体"/>
        </w:rPr>
        <w:t>GLOBMAP</w:t>
      </w:r>
      <w:r>
        <w:rPr>
          <w:rFonts w:hint="eastAsia" w:cs="方正书宋简体"/>
        </w:rPr>
        <w:t>、</w:t>
      </w:r>
      <w:r>
        <w:rPr>
          <w:rFonts w:hint="eastAsia" w:ascii="Times New Roman" w:hAnsi="Times New Roman" w:cs="方正书宋简体"/>
        </w:rPr>
        <w:t>LAI3g</w:t>
      </w:r>
      <w:r>
        <w:rPr>
          <w:rFonts w:hint="eastAsia" w:cs="方正书宋简体"/>
        </w:rPr>
        <w:t>和</w:t>
      </w:r>
      <w:r>
        <w:rPr>
          <w:rFonts w:hint="eastAsia" w:ascii="Times New Roman" w:hAnsi="Times New Roman" w:cs="方正书宋简体"/>
        </w:rPr>
        <w:t>TCDR</w:t>
      </w:r>
      <w:r>
        <w:rPr>
          <w:rFonts w:hint="eastAsia" w:cs="方正书宋简体"/>
        </w:rPr>
        <w:t>等产品在趋势和年际变率方面存在明显不一致。这一结论提醒我们，在环境遥感中使用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产品时，不能只关注产品是否覆盖研究区，更要关注产品的时间稳定性、区域适用性和误差传播。</w:t>
      </w:r>
    </w:p>
    <w:p w14:paraId="3A0D06D8">
      <w:pPr>
        <w:ind w:firstLine="420"/>
        <w:rPr>
          <w:rFonts w:cs="方正书宋简体"/>
          <w:color w:val="FF0000"/>
        </w:rPr>
      </w:pPr>
      <w:r>
        <w:rPr>
          <w:rFonts w:hint="eastAsia" w:cs="方正书宋简体"/>
        </w:rPr>
        <w:t>本文围绕三个问题展开：第一，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为什么能够成为环境遥感中重要的植被结构参数；第二，主要长时间序列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产品为什么会出现不一致；第三，这种不一致会怎样影响全球变化、碳循环和生态环境管理研究。</w:t>
      </w:r>
    </w:p>
    <w:p w14:paraId="0A3DDC77">
      <w:pPr>
        <w:pStyle w:val="54"/>
        <w:spacing w:before="468" w:beforeLines="150" w:after="312" w:afterLines="100"/>
        <w:rPr>
          <w:rFonts w:ascii="宋体" w:hAnsi="宋体" w:cs="宋体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</w:rPr>
        <w:t>2</w:t>
      </w:r>
      <w:r>
        <w:rPr>
          <w:rFonts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正文</w:t>
      </w:r>
    </w:p>
    <w:p w14:paraId="2BC61455">
      <w:pPr>
        <w:pStyle w:val="56"/>
        <w:spacing w:before="124" w:beforeLines="40" w:after="124" w:afterLines="40"/>
      </w:pPr>
      <w:r>
        <w:rPr>
          <w:rFonts w:hint="eastAsia" w:ascii="Times New Roman" w:hAnsi="Times New Roman"/>
          <w:b/>
          <w:bCs/>
        </w:rPr>
        <w:t>2</w:t>
      </w:r>
      <w:r>
        <w:rPr>
          <w:b/>
          <w:bCs/>
        </w:rPr>
        <w:t>.</w:t>
      </w:r>
      <w:r>
        <w:rPr>
          <w:rFonts w:ascii="Times New Roman" w:hAnsi="Times New Roman"/>
          <w:b/>
          <w:bCs/>
        </w:rPr>
        <w:t>1</w:t>
      </w:r>
      <w:r>
        <w:t xml:space="preserve">  </w:t>
      </w:r>
      <w:r>
        <w:rPr>
          <w:rFonts w:hint="eastAsia" w:ascii="Times New Roman" w:hAnsi="Times New Roman" w:cs="黑体"/>
        </w:rPr>
        <w:t>LAI</w:t>
      </w:r>
      <w:r>
        <w:rPr>
          <w:rFonts w:hint="eastAsia" w:cs="黑体"/>
        </w:rPr>
        <w:t>的生态意义与遥感反演基础</w:t>
      </w:r>
    </w:p>
    <w:p w14:paraId="0E7E7B62">
      <w:pPr>
        <w:ind w:firstLine="420"/>
        <w:rPr>
          <w:rFonts w:hint="eastAsia" w:cs="方正书宋简体"/>
        </w:rPr>
      </w:pP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是植被冠层结构的综合表达。对于农田，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与作物长势、产量形成和水肥管理密切相关；对于森林，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与冠层闭合度、光能利用、林分年龄、生物量和碳汇能力有关；对于草地和灌丛，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可作为退化、恢复和季节性生长的重要指标。由于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可以连接地表结构与生态过程，它常被用于</w:t>
      </w:r>
      <w:r>
        <w:rPr>
          <w:rFonts w:hint="eastAsia" w:ascii="Times New Roman" w:hAnsi="Times New Roman" w:cs="方正书宋简体"/>
        </w:rPr>
        <w:t>GPP</w:t>
      </w:r>
      <w:r>
        <w:rPr>
          <w:rFonts w:hint="eastAsia" w:cs="方正书宋简体"/>
        </w:rPr>
        <w:t>、</w:t>
      </w:r>
      <w:r>
        <w:rPr>
          <w:rFonts w:hint="eastAsia" w:ascii="Times New Roman" w:hAnsi="Times New Roman" w:cs="方正书宋简体"/>
        </w:rPr>
        <w:t>NPP</w:t>
      </w:r>
      <w:r>
        <w:rPr>
          <w:rFonts w:hint="eastAsia" w:cs="方正书宋简体"/>
        </w:rPr>
        <w:t>、蒸散发、土壤水分、物候和碳收支模拟。</w:t>
      </w:r>
    </w:p>
    <w:p w14:paraId="2CB50CFD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在环境遥感课程中，植被光谱特征通常从叶片尺度和冠层尺度两方面理解。叶片尺度上，叶绿素在红光和蓝光波段有较强吸收，近红外波段受叶片内部细胞结构散射影响而反射率较高，短波红外波段则受水分和干物质控制。冠层尺度上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增大通常会提高近红外多次散射并增强红光吸收，但这种关系并非无限线性。高覆盖度森林中，</w:t>
      </w:r>
      <w:r>
        <w:rPr>
          <w:rFonts w:hint="eastAsia" w:ascii="Times New Roman" w:hAnsi="Times New Roman" w:cs="方正书宋简体"/>
        </w:rPr>
        <w:t>NDVI</w:t>
      </w:r>
      <w:r>
        <w:rPr>
          <w:rFonts w:hint="eastAsia" w:cs="方正书宋简体"/>
        </w:rPr>
        <w:t>容易出现饱和；土壤背景、水分状态、叶倾角、冠层聚集度和阴影比例也会改变遥感信号。因此，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反演是典型的定量遥感问题，既依赖光谱信息，也依赖模型假设和先验知识。</w:t>
      </w:r>
    </w:p>
    <w:p w14:paraId="14D63D67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早期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遥感反演常采用经验统计方法，即利用地面实测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与</w:t>
      </w:r>
      <w:r>
        <w:rPr>
          <w:rFonts w:hint="eastAsia" w:ascii="Times New Roman" w:hAnsi="Times New Roman" w:cs="方正书宋简体"/>
        </w:rPr>
        <w:t>NDVI</w:t>
      </w:r>
      <w:r>
        <w:rPr>
          <w:rFonts w:hint="eastAsia" w:cs="方正书宋简体"/>
        </w:rPr>
        <w:t>、</w:t>
      </w:r>
      <w:r>
        <w:rPr>
          <w:rFonts w:hint="eastAsia" w:ascii="Times New Roman" w:hAnsi="Times New Roman" w:cs="方正书宋简体"/>
        </w:rPr>
        <w:t>SR</w:t>
      </w:r>
      <w:r>
        <w:rPr>
          <w:rFonts w:hint="eastAsia" w:cs="方正书宋简体"/>
        </w:rPr>
        <w:t>、</w:t>
      </w:r>
      <w:r>
        <w:rPr>
          <w:rFonts w:hint="eastAsia" w:ascii="Times New Roman" w:hAnsi="Times New Roman" w:cs="方正书宋简体"/>
        </w:rPr>
        <w:t>EVI</w:t>
      </w:r>
      <w:r>
        <w:rPr>
          <w:rFonts w:hint="eastAsia" w:cs="方正书宋简体"/>
        </w:rPr>
        <w:t>等指数建立回归关系。这类方法直观、计算量小，在农田或单一植被类型区域效果较好，但跨区域迁移能力有限。另一类方法是基于辐射传输模型的物理反演，通过描述太阳辐射进入冠层后被叶片、枝干、土壤和大气吸收、反射、透射与散射的过程来估计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。物理模型具有较强解释性，但常面临病态问题，即不同参数组合可能产生相似反射率。为缓解这一问题，实际产品常采用查找表、先验约束、神经网络或多源数据融合</w:t>
      </w:r>
      <w:r>
        <w:rPr>
          <w:rFonts w:hint="eastAsia" w:cs="方正书宋简体"/>
          <w:lang w:eastAsia="zh-CN"/>
        </w:rPr>
        <w:t>的方法。</w:t>
      </w:r>
    </w:p>
    <w:p w14:paraId="42739C42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机器学习方法近年来应用广泛。以</w:t>
      </w:r>
      <w:r>
        <w:rPr>
          <w:rFonts w:hint="eastAsia" w:ascii="Times New Roman" w:hAnsi="Times New Roman" w:cs="方正书宋简体"/>
        </w:rPr>
        <w:t>GLASS</w:t>
      </w:r>
      <w:r>
        <w:rPr>
          <w:rFonts w:hint="eastAsia" w:cs="方正书宋简体"/>
        </w:rPr>
        <w:t>、</w:t>
      </w:r>
      <w:r>
        <w:rPr>
          <w:rFonts w:hint="eastAsia" w:ascii="Times New Roman" w:hAnsi="Times New Roman" w:cs="方正书宋简体"/>
        </w:rPr>
        <w:t>LAI3g</w:t>
      </w:r>
      <w:r>
        <w:rPr>
          <w:rFonts w:hint="eastAsia" w:cs="方正书宋简体"/>
        </w:rPr>
        <w:t>等产品为例，其</w:t>
      </w:r>
      <w:r>
        <w:rPr>
          <w:rFonts w:hint="eastAsia" w:ascii="Times New Roman" w:hAnsi="Times New Roman" w:cs="方正书宋简体"/>
          <w:lang w:val="en-US" w:eastAsia="zh-CN"/>
        </w:rPr>
        <w:t>L</w:t>
      </w:r>
      <w:r>
        <w:rPr>
          <w:rFonts w:hint="eastAsia" w:ascii="Times New Roman" w:hAnsi="Times New Roman" w:cs="方正书宋简体"/>
        </w:rPr>
        <w:t>AI</w:t>
      </w:r>
      <w:r>
        <w:rPr>
          <w:rFonts w:hint="eastAsia" w:cs="方正书宋简体"/>
        </w:rPr>
        <w:t>生成过程与神经网络或融合算法有关</w:t>
      </w:r>
      <w:r>
        <w:rPr>
          <w:rFonts w:hint="eastAsia" w:cs="方正书宋简体" w:asciiTheme="minorAscii" w:hAnsiTheme="minorAscii" w:eastAsiaTheme="minorEastAsia"/>
          <w:sz w:val="21"/>
          <w:vertAlign w:val="superscript"/>
        </w:rPr>
        <w:t>[</w:t>
      </w:r>
      <w:r>
        <w:rPr>
          <w:rFonts w:hint="eastAsia" w:ascii="Times New Roman" w:hAnsi="Times New Roman" w:cs="方正书宋简体" w:eastAsiaTheme="minorEastAsia"/>
          <w:sz w:val="21"/>
          <w:vertAlign w:val="superscript"/>
        </w:rPr>
        <w:t>2</w:t>
      </w:r>
      <w:r>
        <w:rPr>
          <w:rFonts w:hint="eastAsia" w:cs="方正书宋简体" w:asciiTheme="minorAscii" w:hAnsiTheme="minorAscii" w:eastAsiaTheme="minorEastAsia"/>
          <w:sz w:val="21"/>
          <w:vertAlign w:val="superscript"/>
        </w:rPr>
        <w:t>][</w:t>
      </w:r>
      <w:r>
        <w:rPr>
          <w:rFonts w:hint="eastAsia" w:ascii="Times New Roman" w:hAnsi="Times New Roman" w:cs="方正书宋简体" w:eastAsiaTheme="minorEastAsia"/>
          <w:sz w:val="21"/>
          <w:vertAlign w:val="superscript"/>
        </w:rPr>
        <w:t>4</w:t>
      </w:r>
      <w:r>
        <w:rPr>
          <w:rFonts w:hint="eastAsia" w:cs="方正书宋简体" w:asciiTheme="minorAscii" w:hAnsiTheme="minorAscii" w:eastAsiaTheme="minorEastAsia"/>
          <w:sz w:val="21"/>
          <w:vertAlign w:val="superscript"/>
        </w:rPr>
        <w:t>]</w:t>
      </w:r>
      <w:r>
        <w:rPr>
          <w:rFonts w:hint="eastAsia" w:cs="方正书宋简体"/>
        </w:rPr>
        <w:t>。机器学习能拟合复杂非线性关系，但结果依赖训练样本、输入数据质量和算法结构。若训练样本主要来自某一时期或某类传感器，向历史传感器或不同生态区外推时可能产生不稳定性。</w:t>
      </w:r>
    </w:p>
    <w:p w14:paraId="2600CFA1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长时间序列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反演比单期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反演更难。单期产品主要关注某一日期或某一季节的空间格局，而长时间序列产品还必须保证几十年间的时间一致性。只要某一时期传感器更替、观测时间变化、算法更新或数据源切换处理不当，长期趋势就可能受到影响。以</w:t>
      </w:r>
      <w:r>
        <w:rPr>
          <w:rFonts w:hint="eastAsia" w:ascii="Times New Roman" w:hAnsi="Times New Roman" w:cs="方正书宋简体"/>
        </w:rPr>
        <w:t>AVHRR</w:t>
      </w:r>
      <w:r>
        <w:rPr>
          <w:rFonts w:hint="eastAsia" w:cs="方正书宋简体"/>
        </w:rPr>
        <w:t>为例，它提供了</w:t>
      </w:r>
      <w:r>
        <w:rPr>
          <w:rFonts w:hint="eastAsia" w:ascii="Times New Roman" w:hAnsi="Times New Roman" w:cs="方正书宋简体"/>
          <w:lang w:eastAsia="zh-CN"/>
        </w:rPr>
        <w:t>20</w:t>
      </w:r>
      <w:r>
        <w:rPr>
          <w:rFonts w:hint="eastAsia" w:cs="方正书宋简体"/>
          <w:lang w:eastAsia="zh-CN"/>
        </w:rPr>
        <w:t>世纪</w:t>
      </w:r>
      <w:r>
        <w:rPr>
          <w:rFonts w:hint="eastAsia" w:ascii="Times New Roman" w:hAnsi="Times New Roman" w:cs="方正书宋简体"/>
          <w:lang w:eastAsia="zh-CN"/>
        </w:rPr>
        <w:t>80</w:t>
      </w:r>
      <w:r>
        <w:rPr>
          <w:rFonts w:hint="eastAsia" w:cs="方正书宋简体"/>
          <w:lang w:eastAsia="zh-CN"/>
        </w:rPr>
        <w:t>年代</w:t>
      </w:r>
      <w:r>
        <w:rPr>
          <w:rFonts w:hint="eastAsia" w:cs="方正书宋简体"/>
        </w:rPr>
        <w:t>以来非常宝贵的长期资料，但早期</w:t>
      </w:r>
      <w:r>
        <w:rPr>
          <w:rFonts w:hint="eastAsia" w:ascii="Times New Roman" w:hAnsi="Times New Roman" w:cs="方正书宋简体"/>
        </w:rPr>
        <w:t>AVHRR</w:t>
      </w:r>
      <w:r>
        <w:rPr>
          <w:rFonts w:hint="eastAsia" w:cs="方正书宋简体"/>
        </w:rPr>
        <w:t>传感器并不是专门为精细陆表生态监测设计的，存在星上定标不足、传感器退化、平台更替和轨道漂移等问题。</w:t>
      </w:r>
      <w:r>
        <w:rPr>
          <w:rFonts w:hint="eastAsia" w:ascii="Times New Roman" w:hAnsi="Times New Roman" w:cs="方正书宋简体"/>
        </w:rPr>
        <w:t>MODIS</w:t>
      </w:r>
      <w:r>
        <w:rPr>
          <w:rFonts w:hint="eastAsia" w:cs="方正书宋简体"/>
        </w:rPr>
        <w:t>之后的产品质量较高，但时间跨度相对较短。长时间序列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产品往往需要把</w:t>
      </w:r>
      <w:r>
        <w:rPr>
          <w:rFonts w:hint="eastAsia" w:ascii="Times New Roman" w:hAnsi="Times New Roman" w:cs="方正书宋简体"/>
        </w:rPr>
        <w:t>AVHRR</w:t>
      </w:r>
      <w:r>
        <w:rPr>
          <w:rFonts w:hint="eastAsia" w:cs="方正书宋简体"/>
        </w:rPr>
        <w:t>与</w:t>
      </w:r>
      <w:r>
        <w:rPr>
          <w:rFonts w:hint="eastAsia" w:ascii="Times New Roman" w:hAnsi="Times New Roman" w:cs="方正书宋简体"/>
        </w:rPr>
        <w:t>MODIS</w:t>
      </w:r>
      <w:r>
        <w:rPr>
          <w:rFonts w:hint="eastAsia" w:cs="方正书宋简体"/>
        </w:rPr>
        <w:t>等资料融合起来，这就涉及跨传感器一致性问题。若融合关系不稳定，产品在</w:t>
      </w:r>
      <w:r>
        <w:rPr>
          <w:rFonts w:hint="eastAsia" w:ascii="Times New Roman" w:hAnsi="Times New Roman" w:cs="方正书宋简体"/>
        </w:rPr>
        <w:t>MODIS</w:t>
      </w:r>
      <w:r>
        <w:rPr>
          <w:rFonts w:hint="eastAsia" w:cs="方正书宋简体"/>
        </w:rPr>
        <w:t>前后可能出现人为突变或趋势偏差。</w:t>
      </w:r>
    </w:p>
    <w:p w14:paraId="78A6EDA3">
      <w:pPr>
        <w:jc w:val="center"/>
        <w:rPr>
          <w:rFonts w:hint="eastAsia" w:cs="方正书宋简体"/>
        </w:rPr>
      </w:pPr>
      <w:r>
        <w:drawing>
          <wp:inline distT="0" distB="0" distL="114300" distR="114300">
            <wp:extent cx="5175885" cy="1778635"/>
            <wp:effectExtent l="0" t="0" r="5715" b="1206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3C5F">
      <w:pPr>
        <w:ind w:firstLine="420"/>
        <w:jc w:val="center"/>
      </w:pPr>
      <w:r>
        <w:rPr>
          <w:rFonts w:hint="eastAsia" w:ascii="Times New Roman" w:hAnsi="Times New Roman" w:eastAsia="黑体" w:cs="黑体"/>
          <w:b/>
          <w:bCs/>
          <w:kern w:val="2"/>
          <w:sz w:val="18"/>
          <w:szCs w:val="18"/>
          <w:lang w:val="en-GB" w:eastAsia="zh-CN" w:bidi="ar-SA"/>
        </w:rPr>
        <w:t>图1 长时间序列 LAI 产品生成流程示意</w:t>
      </w:r>
    </w:p>
    <w:p w14:paraId="7415FAE0">
      <w:pPr>
        <w:pStyle w:val="56"/>
        <w:spacing w:before="124" w:beforeLines="40" w:after="124" w:afterLines="40"/>
        <w:rPr>
          <w:rFonts w:hint="eastAsia" w:cs="黑体"/>
        </w:rPr>
      </w:pPr>
      <w:r>
        <w:rPr>
          <w:rFonts w:hint="eastAsia" w:ascii="Times New Roman" w:hAnsi="Times New Roman"/>
          <w:b/>
          <w:bCs/>
        </w:rPr>
        <w:t>2</w:t>
      </w:r>
      <w:r>
        <w:rPr>
          <w:b/>
          <w:bCs/>
        </w:rPr>
        <w:t>.</w:t>
      </w:r>
      <w:r>
        <w:rPr>
          <w:rFonts w:hint="eastAsia" w:ascii="Times New Roman" w:hAnsi="Times New Roman"/>
          <w:b/>
          <w:bCs/>
          <w:lang w:val="en-US" w:eastAsia="zh-CN"/>
        </w:rPr>
        <w:t>2</w:t>
      </w:r>
      <w:r>
        <w:t xml:space="preserve">  </w:t>
      </w:r>
      <w:r>
        <w:rPr>
          <w:rFonts w:hint="eastAsia" w:cs="黑体"/>
        </w:rPr>
        <w:t>主要长时间序列</w:t>
      </w:r>
      <w:r>
        <w:rPr>
          <w:rFonts w:hint="eastAsia" w:ascii="Times New Roman" w:hAnsi="Times New Roman" w:cs="黑体"/>
        </w:rPr>
        <w:t>LAI</w:t>
      </w:r>
      <w:r>
        <w:rPr>
          <w:rFonts w:hint="eastAsia" w:cs="黑体"/>
        </w:rPr>
        <w:t>产品及研究进展</w:t>
      </w:r>
    </w:p>
    <w:p w14:paraId="330AAE87">
      <w:pPr>
        <w:ind w:firstLine="420"/>
        <w:rPr>
          <w:rFonts w:hint="eastAsia" w:cs="方正书宋简体"/>
        </w:rPr>
      </w:pPr>
      <w:r>
        <w:rPr>
          <w:rFonts w:hint="default" w:ascii="Times New Roman" w:hAnsi="Times New Roman" w:cs="方正书宋简体"/>
          <w:lang w:val="en-US" w:eastAsia="zh-CN"/>
        </w:rPr>
        <w:t>GLASS</w:t>
      </w:r>
      <w:r>
        <w:rPr>
          <w:rFonts w:hint="default" w:cs="方正书宋简体"/>
          <w:lang w:val="en-US" w:eastAsia="zh-CN"/>
        </w:rPr>
        <w:t>（</w:t>
      </w:r>
      <w:r>
        <w:rPr>
          <w:rFonts w:hint="default" w:ascii="Times New Roman" w:hAnsi="Times New Roman" w:cs="方正书宋简体"/>
          <w:lang w:val="en-US" w:eastAsia="zh-CN"/>
        </w:rPr>
        <w:t>Global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LAnd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Surface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Satellite</w:t>
      </w:r>
      <w:r>
        <w:rPr>
          <w:rFonts w:hint="default" w:cs="方正书宋简体"/>
          <w:lang w:val="en-US" w:eastAsia="zh-CN"/>
        </w:rPr>
        <w:t>）产品体系包含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、</w:t>
      </w:r>
      <w:r>
        <w:rPr>
          <w:rFonts w:hint="default" w:ascii="Times New Roman" w:hAnsi="Times New Roman" w:cs="方正书宋简体"/>
          <w:lang w:val="en-US" w:eastAsia="zh-CN"/>
        </w:rPr>
        <w:t>FPAR</w:t>
      </w:r>
      <w:r>
        <w:rPr>
          <w:rFonts w:hint="default" w:cs="方正书宋简体"/>
          <w:lang w:val="en-US" w:eastAsia="zh-CN"/>
        </w:rPr>
        <w:t>、地表反照率、地表温度等多类陆表参数。</w:t>
      </w:r>
      <w:r>
        <w:rPr>
          <w:rFonts w:hint="default" w:ascii="Times New Roman" w:hAnsi="Times New Roman" w:cs="方正书宋简体"/>
          <w:lang w:val="en-US" w:eastAsia="zh-CN"/>
        </w:rPr>
        <w:t>Xiao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2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提出的长时间序列</w:t>
      </w:r>
      <w:r>
        <w:rPr>
          <w:rFonts w:hint="default" w:ascii="Times New Roman" w:hAnsi="Times New Roman" w:cs="方正书宋简体"/>
          <w:lang w:val="en-US" w:eastAsia="zh-CN"/>
        </w:rPr>
        <w:t>GLASS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产品利用</w:t>
      </w:r>
      <w:r>
        <w:rPr>
          <w:rFonts w:hint="default" w:ascii="Times New Roman" w:hAnsi="Times New Roman" w:cs="方正书宋简体"/>
          <w:lang w:val="en-US" w:eastAsia="zh-CN"/>
        </w:rPr>
        <w:t>AVHRR</w:t>
      </w:r>
      <w:r>
        <w:rPr>
          <w:rFonts w:hint="default" w:cs="方正书宋简体"/>
          <w:lang w:val="en-US" w:eastAsia="zh-CN"/>
        </w:rPr>
        <w:t>和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表面反射率资料生成，覆盖时间可追溯到</w:t>
      </w:r>
      <w:r>
        <w:rPr>
          <w:rFonts w:hint="default" w:ascii="Times New Roman" w:hAnsi="Times New Roman" w:cs="方正书宋简体"/>
          <w:lang w:val="en-US" w:eastAsia="zh-CN"/>
        </w:rPr>
        <w:t>1981</w:t>
      </w:r>
      <w:r>
        <w:rPr>
          <w:rFonts w:hint="default" w:cs="方正书宋简体"/>
          <w:lang w:val="en-US" w:eastAsia="zh-CN"/>
        </w:rPr>
        <w:t>年。其思路是利用较高质量的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时期资料建立反射率与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之间的关系，再向</w:t>
      </w:r>
      <w:r>
        <w:rPr>
          <w:rFonts w:hint="default" w:ascii="Times New Roman" w:hAnsi="Times New Roman" w:cs="方正书宋简体"/>
          <w:lang w:val="en-US" w:eastAsia="zh-CN"/>
        </w:rPr>
        <w:t>AVHRR</w:t>
      </w:r>
      <w:r>
        <w:rPr>
          <w:rFonts w:hint="default" w:cs="方正书宋简体"/>
          <w:lang w:val="en-US" w:eastAsia="zh-CN"/>
        </w:rPr>
        <w:t>时期扩展。</w:t>
      </w:r>
      <w:r>
        <w:rPr>
          <w:rFonts w:hint="default" w:ascii="Times New Roman" w:hAnsi="Times New Roman" w:cs="方正书宋简体"/>
          <w:lang w:val="en-US" w:eastAsia="zh-CN"/>
        </w:rPr>
        <w:t>GLASS</w:t>
      </w:r>
      <w:r>
        <w:rPr>
          <w:rFonts w:hint="default" w:cs="方正书宋简体"/>
          <w:lang w:val="en-US" w:eastAsia="zh-CN"/>
        </w:rPr>
        <w:t>产品的优势在于时间跨度长、产品体系较完整，并在许多生态和陆面过程研究中得到应用。不过，</w:t>
      </w:r>
      <w:r>
        <w:rPr>
          <w:rFonts w:hint="default" w:ascii="Times New Roman" w:hAnsi="Times New Roman" w:cs="方正书宋简体"/>
          <w:lang w:val="en-US" w:eastAsia="zh-CN"/>
        </w:rPr>
        <w:t>GLASS</w:t>
      </w:r>
      <w:r>
        <w:rPr>
          <w:rFonts w:hint="default" w:cs="方正书宋简体"/>
          <w:lang w:val="en-US" w:eastAsia="zh-CN"/>
        </w:rPr>
        <w:t>也面临长时间序列产品共有的问题。</w:t>
      </w:r>
      <w:r>
        <w:rPr>
          <w:rFonts w:hint="default" w:ascii="Times New Roman" w:hAnsi="Times New Roman" w:cs="方正书宋简体"/>
          <w:lang w:val="en-US" w:eastAsia="zh-CN"/>
        </w:rPr>
        <w:t>AVHRR</w:t>
      </w:r>
      <w:r>
        <w:rPr>
          <w:rFonts w:hint="default" w:cs="方正书宋简体"/>
          <w:lang w:val="en-US" w:eastAsia="zh-CN"/>
        </w:rPr>
        <w:t>与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在光谱响应函数、空间分辨率、观测几何和数据质量方面并不相同，跨传感器转换可能引入误差。</w:t>
      </w:r>
      <w:r>
        <w:rPr>
          <w:rFonts w:hint="default" w:ascii="Times New Roman" w:hAnsi="Times New Roman" w:cs="方正书宋简体"/>
          <w:lang w:val="en-US" w:eastAsia="zh-CN"/>
        </w:rPr>
        <w:t>Jiang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1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发现，</w:t>
      </w:r>
      <w:r>
        <w:rPr>
          <w:rFonts w:hint="default" w:ascii="Times New Roman" w:hAnsi="Times New Roman" w:cs="方正书宋简体"/>
          <w:lang w:val="en-US" w:eastAsia="zh-CN"/>
        </w:rPr>
        <w:t>GLASS</w:t>
      </w:r>
      <w:r>
        <w:rPr>
          <w:rFonts w:hint="default" w:cs="方正书宋简体"/>
          <w:lang w:val="en-US" w:eastAsia="zh-CN"/>
        </w:rPr>
        <w:t>在某些时期的趋势和年际变率明显高于其他产品，这说明它在揭示生态变化方面具有较强敏感性，但也可能对数据源或算法误差更敏感。</w:t>
      </w:r>
    </w:p>
    <w:p w14:paraId="5766143C">
      <w:pPr>
        <w:ind w:firstLine="420"/>
        <w:rPr>
          <w:rFonts w:hint="default" w:cs="方正书宋简体"/>
        </w:rPr>
      </w:pPr>
      <w:r>
        <w:rPr>
          <w:rFonts w:hint="default" w:ascii="Times New Roman" w:hAnsi="Times New Roman" w:cs="方正书宋简体"/>
          <w:lang w:val="en-US" w:eastAsia="zh-CN"/>
        </w:rPr>
        <w:t>GLOBMAP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产品由</w:t>
      </w:r>
      <w:r>
        <w:rPr>
          <w:rFonts w:hint="default" w:ascii="Times New Roman" w:hAnsi="Times New Roman" w:cs="方正书宋简体"/>
          <w:lang w:val="en-US" w:eastAsia="zh-CN"/>
        </w:rPr>
        <w:t>Liu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3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提出，目标是生成</w:t>
      </w:r>
      <w:r>
        <w:rPr>
          <w:rFonts w:hint="default" w:ascii="Times New Roman" w:hAnsi="Times New Roman" w:cs="方正书宋简体"/>
          <w:lang w:val="en-US" w:eastAsia="zh-CN"/>
        </w:rPr>
        <w:t>1981</w:t>
      </w:r>
      <w:r>
        <w:rPr>
          <w:rFonts w:hint="eastAsia" w:cs="方正书宋简体"/>
          <w:lang w:val="en-US" w:eastAsia="zh-CN"/>
        </w:rPr>
        <w:t>—</w:t>
      </w:r>
      <w:r>
        <w:rPr>
          <w:rFonts w:hint="default" w:ascii="Times New Roman" w:hAnsi="Times New Roman" w:cs="方正书宋简体"/>
          <w:lang w:val="en-US" w:eastAsia="zh-CN"/>
        </w:rPr>
        <w:t>2011</w:t>
      </w:r>
      <w:r>
        <w:rPr>
          <w:rFonts w:hint="default" w:cs="方正书宋简体"/>
          <w:lang w:val="en-US" w:eastAsia="zh-CN"/>
        </w:rPr>
        <w:t>年较一致的全球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数据。该产品通过融合</w:t>
      </w:r>
      <w:r>
        <w:rPr>
          <w:rFonts w:hint="default" w:ascii="Times New Roman" w:hAnsi="Times New Roman" w:cs="方正书宋简体"/>
          <w:lang w:val="en-US" w:eastAsia="zh-CN"/>
        </w:rPr>
        <w:t>AVHRR</w:t>
      </w:r>
      <w:r>
        <w:rPr>
          <w:rFonts w:hint="default" w:cs="方正书宋简体"/>
          <w:lang w:val="en-US" w:eastAsia="zh-CN"/>
        </w:rPr>
        <w:t>和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资料，利用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时期建立的关系回推历史时期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。</w:t>
      </w:r>
      <w:r>
        <w:rPr>
          <w:rFonts w:hint="default" w:ascii="Times New Roman" w:hAnsi="Times New Roman" w:cs="方正书宋简体"/>
          <w:lang w:val="en-US" w:eastAsia="zh-CN"/>
        </w:rPr>
        <w:t>GLOBMAP</w:t>
      </w:r>
      <w:r>
        <w:rPr>
          <w:rFonts w:hint="default" w:cs="方正书宋简体"/>
          <w:lang w:val="en-US" w:eastAsia="zh-CN"/>
        </w:rPr>
        <w:t>的重要贡献在于较系统地处理了长期一致性问题，并明确将产品设计目标放在长期全球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重建上。</w:t>
      </w:r>
      <w:r>
        <w:rPr>
          <w:rFonts w:hint="default" w:ascii="Times New Roman" w:hAnsi="Times New Roman" w:cs="方正书宋简体"/>
          <w:lang w:val="en-US" w:eastAsia="zh-CN"/>
        </w:rPr>
        <w:t>GLOBMAP</w:t>
      </w:r>
      <w:r>
        <w:rPr>
          <w:rFonts w:hint="default" w:cs="方正书宋简体"/>
          <w:lang w:val="en-US" w:eastAsia="zh-CN"/>
        </w:rPr>
        <w:t>的趋势表现相对平缓。在产品比较中，它的年际变率和长期趋势常低于</w:t>
      </w:r>
      <w:r>
        <w:rPr>
          <w:rFonts w:hint="default" w:ascii="Times New Roman" w:hAnsi="Times New Roman" w:cs="方正书宋简体"/>
          <w:lang w:val="en-US" w:eastAsia="zh-CN"/>
        </w:rPr>
        <w:t>GLASS</w:t>
      </w:r>
      <w:r>
        <w:rPr>
          <w:rFonts w:hint="default" w:cs="方正书宋简体"/>
          <w:lang w:val="en-US" w:eastAsia="zh-CN"/>
        </w:rPr>
        <w:t xml:space="preserve">和 </w:t>
      </w:r>
      <w:r>
        <w:rPr>
          <w:rFonts w:hint="default" w:ascii="Times New Roman" w:hAnsi="Times New Roman" w:cs="方正书宋简体"/>
          <w:lang w:val="en-US" w:eastAsia="zh-CN"/>
        </w:rPr>
        <w:t>LAI3g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1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。这既可能意味着</w:t>
      </w:r>
      <w:r>
        <w:rPr>
          <w:rFonts w:hint="default" w:ascii="Times New Roman" w:hAnsi="Times New Roman" w:cs="方正书宋简体"/>
          <w:lang w:val="en-US" w:eastAsia="zh-CN"/>
        </w:rPr>
        <w:t>GLOBMAP</w:t>
      </w:r>
      <w:r>
        <w:rPr>
          <w:rFonts w:hint="default" w:cs="方正书宋简体"/>
          <w:lang w:val="en-US" w:eastAsia="zh-CN"/>
        </w:rPr>
        <w:t>对噪声有较强抑制，也可能意味着其对真实生态波动的响应被削弱。对于需要稳定长期背景的研究，较平滑的产品可能有优势；但对于关注极端干旱、扰动恢复或年际异常的研究，过度平滑则可能掩盖生态信号。</w:t>
      </w:r>
    </w:p>
    <w:p w14:paraId="4FF39ADA">
      <w:pPr>
        <w:ind w:firstLine="420"/>
        <w:rPr>
          <w:rFonts w:hint="default" w:cs="方正书宋简体"/>
        </w:rPr>
      </w:pPr>
      <w:r>
        <w:rPr>
          <w:rFonts w:hint="default" w:ascii="Times New Roman" w:hAnsi="Times New Roman" w:cs="方正书宋简体"/>
          <w:lang w:val="en-US" w:eastAsia="zh-CN"/>
        </w:rPr>
        <w:t>LAI3g</w:t>
      </w:r>
      <w:r>
        <w:rPr>
          <w:rFonts w:hint="default" w:cs="方正书宋简体"/>
          <w:lang w:val="en-US" w:eastAsia="zh-CN"/>
        </w:rPr>
        <w:t>基于</w:t>
      </w:r>
      <w:r>
        <w:rPr>
          <w:rFonts w:hint="default" w:ascii="Times New Roman" w:hAnsi="Times New Roman" w:cs="方正书宋简体"/>
          <w:lang w:val="en-US" w:eastAsia="zh-CN"/>
        </w:rPr>
        <w:t>GIMMS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NDVI3g</w:t>
      </w:r>
      <w:r>
        <w:rPr>
          <w:rFonts w:hint="default" w:cs="方正书宋简体"/>
          <w:lang w:val="en-US" w:eastAsia="zh-CN"/>
        </w:rPr>
        <w:t>数据和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/</w:t>
      </w:r>
      <w:r>
        <w:rPr>
          <w:rFonts w:hint="default" w:ascii="Times New Roman" w:hAnsi="Times New Roman" w:cs="方正书宋简体"/>
          <w:lang w:val="en-US" w:eastAsia="zh-CN"/>
        </w:rPr>
        <w:t>FPAR</w:t>
      </w:r>
      <w:r>
        <w:rPr>
          <w:rFonts w:hint="default" w:cs="方正书宋简体"/>
          <w:lang w:val="en-US" w:eastAsia="zh-CN"/>
        </w:rPr>
        <w:t>产品训练的神经网络生成，覆盖</w:t>
      </w:r>
      <w:r>
        <w:rPr>
          <w:rFonts w:hint="default" w:ascii="Times New Roman" w:hAnsi="Times New Roman" w:cs="方正书宋简体"/>
          <w:lang w:val="en-US" w:eastAsia="zh-CN"/>
        </w:rPr>
        <w:t>1981</w:t>
      </w:r>
      <w:r>
        <w:rPr>
          <w:rFonts w:hint="eastAsia" w:cs="方正书宋简体"/>
          <w:lang w:val="en-US" w:eastAsia="zh-CN"/>
        </w:rPr>
        <w:t>—</w:t>
      </w:r>
      <w:r>
        <w:rPr>
          <w:rFonts w:hint="default" w:ascii="Times New Roman" w:hAnsi="Times New Roman" w:cs="方正书宋简体"/>
          <w:lang w:val="en-US" w:eastAsia="zh-CN"/>
        </w:rPr>
        <w:t>2011</w:t>
      </w:r>
      <w:r>
        <w:rPr>
          <w:rFonts w:hint="default" w:cs="方正书宋简体"/>
          <w:lang w:val="en-US" w:eastAsia="zh-CN"/>
        </w:rPr>
        <w:t>年，具有较长时间跨度和较高使用频率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4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。由于</w:t>
      </w:r>
      <w:r>
        <w:rPr>
          <w:rFonts w:hint="default" w:ascii="Times New Roman" w:hAnsi="Times New Roman" w:cs="方正书宋简体"/>
          <w:lang w:val="en-US" w:eastAsia="zh-CN"/>
        </w:rPr>
        <w:t>GIMMS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NDVI</w:t>
      </w:r>
      <w:r>
        <w:rPr>
          <w:rFonts w:hint="default" w:cs="方正书宋简体"/>
          <w:lang w:val="en-US" w:eastAsia="zh-CN"/>
        </w:rPr>
        <w:t>长期以来被广泛用于全球植被变化研究，</w:t>
      </w:r>
      <w:r>
        <w:rPr>
          <w:rFonts w:hint="default" w:ascii="Times New Roman" w:hAnsi="Times New Roman" w:cs="方正书宋简体"/>
          <w:lang w:val="en-US" w:eastAsia="zh-CN"/>
        </w:rPr>
        <w:t>LAI3g</w:t>
      </w:r>
      <w:r>
        <w:rPr>
          <w:rFonts w:hint="default" w:cs="方正书宋简体"/>
          <w:lang w:val="en-US" w:eastAsia="zh-CN"/>
        </w:rPr>
        <w:t>在全球变绿和陆面模型评估中也具有较高影响力。</w:t>
      </w:r>
      <w:r>
        <w:rPr>
          <w:rFonts w:hint="default" w:ascii="Times New Roman" w:hAnsi="Times New Roman" w:cs="方正书宋简体"/>
          <w:lang w:val="en-US" w:eastAsia="zh-CN"/>
        </w:rPr>
        <w:t>LAI3g</w:t>
      </w:r>
      <w:r>
        <w:rPr>
          <w:rFonts w:hint="default" w:cs="方正书宋简体"/>
          <w:lang w:val="en-US" w:eastAsia="zh-CN"/>
        </w:rPr>
        <w:t>的优势是与长期</w:t>
      </w:r>
      <w:r>
        <w:rPr>
          <w:rFonts w:hint="default" w:ascii="Times New Roman" w:hAnsi="Times New Roman" w:cs="方正书宋简体"/>
          <w:lang w:val="en-US" w:eastAsia="zh-CN"/>
        </w:rPr>
        <w:t>NDVI</w:t>
      </w:r>
      <w:r>
        <w:rPr>
          <w:rFonts w:hint="default" w:cs="方正书宋简体"/>
          <w:lang w:val="en-US" w:eastAsia="zh-CN"/>
        </w:rPr>
        <w:t>研究传统衔接紧密，适合用于全球尺度生态变化分析。但其生成高度依赖</w:t>
      </w:r>
      <w:r>
        <w:rPr>
          <w:rFonts w:hint="default" w:ascii="Times New Roman" w:hAnsi="Times New Roman" w:cs="方正书宋简体"/>
          <w:lang w:val="en-US" w:eastAsia="zh-CN"/>
        </w:rPr>
        <w:t>NDVI3g</w:t>
      </w:r>
      <w:r>
        <w:rPr>
          <w:rFonts w:hint="default" w:cs="方正书宋简体"/>
          <w:lang w:val="en-US" w:eastAsia="zh-CN"/>
        </w:rPr>
        <w:t>与训练算法。</w:t>
      </w:r>
      <w:r>
        <w:rPr>
          <w:rFonts w:hint="default" w:ascii="Times New Roman" w:hAnsi="Times New Roman" w:cs="方正书宋简体"/>
          <w:lang w:val="en-US" w:eastAsia="zh-CN"/>
        </w:rPr>
        <w:t>NDVI</w:t>
      </w:r>
      <w:r>
        <w:rPr>
          <w:rFonts w:hint="default" w:cs="方正书宋简体"/>
          <w:lang w:val="en-US" w:eastAsia="zh-CN"/>
        </w:rPr>
        <w:t>本身存在高生物量饱和、大气和土壤背景影响等问题；若这些问题在历史时期处理不足，</w:t>
      </w:r>
      <w:r>
        <w:rPr>
          <w:rFonts w:hint="default" w:ascii="Times New Roman" w:hAnsi="Times New Roman" w:cs="方正书宋简体"/>
          <w:lang w:val="en-US" w:eastAsia="zh-CN"/>
        </w:rPr>
        <w:t>LAI3g</w:t>
      </w:r>
      <w:r>
        <w:rPr>
          <w:rFonts w:hint="default" w:cs="方正书宋简体"/>
          <w:lang w:val="en-US" w:eastAsia="zh-CN"/>
        </w:rPr>
        <w:t>的长期趋势也可能受到影响。</w:t>
      </w:r>
    </w:p>
    <w:p w14:paraId="3ECDCE46">
      <w:pPr>
        <w:ind w:firstLine="420"/>
        <w:rPr>
          <w:rFonts w:hint="default" w:cs="方正书宋简体"/>
          <w:lang w:val="en-US" w:eastAsia="zh-CN"/>
        </w:rPr>
      </w:pPr>
      <w:r>
        <w:rPr>
          <w:rFonts w:hint="default" w:ascii="Times New Roman" w:hAnsi="Times New Roman" w:cs="方正书宋简体"/>
          <w:lang w:val="en-US" w:eastAsia="zh-CN"/>
        </w:rPr>
        <w:t>Claverie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5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提出的</w:t>
      </w:r>
      <w:r>
        <w:rPr>
          <w:rFonts w:hint="default" w:ascii="Times New Roman" w:hAnsi="Times New Roman" w:cs="方正书宋简体"/>
          <w:lang w:val="en-US" w:eastAsia="zh-CN"/>
        </w:rPr>
        <w:t>AVHRR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/</w:t>
      </w:r>
      <w:r>
        <w:rPr>
          <w:rFonts w:hint="default" w:ascii="Times New Roman" w:hAnsi="Times New Roman" w:cs="方正书宋简体"/>
          <w:lang w:val="en-US" w:eastAsia="zh-CN"/>
        </w:rPr>
        <w:t>FPAR</w:t>
      </w:r>
      <w:r>
        <w:rPr>
          <w:rFonts w:hint="default" w:cs="方正书宋简体"/>
          <w:lang w:val="en-US" w:eastAsia="zh-CN"/>
        </w:rPr>
        <w:t>气候数据记录（</w:t>
      </w:r>
      <w:r>
        <w:rPr>
          <w:rFonts w:hint="default" w:ascii="Times New Roman" w:hAnsi="Times New Roman" w:cs="方正书宋简体"/>
          <w:lang w:val="en-US" w:eastAsia="zh-CN"/>
        </w:rPr>
        <w:t>TCDR</w:t>
      </w:r>
      <w:r>
        <w:rPr>
          <w:rFonts w:hint="default" w:cs="方正书宋简体"/>
          <w:lang w:val="en-US" w:eastAsia="zh-CN"/>
        </w:rPr>
        <w:t>）强调使用经过校正的长期陆表反射率记录，服务于气候研究。其算法使用人工神经网络，并以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/</w:t>
      </w:r>
      <w:r>
        <w:rPr>
          <w:rFonts w:hint="default" w:ascii="Times New Roman" w:hAnsi="Times New Roman" w:cs="方正书宋简体"/>
          <w:lang w:val="en-US" w:eastAsia="zh-CN"/>
        </w:rPr>
        <w:t>FPAR</w:t>
      </w:r>
      <w:r>
        <w:rPr>
          <w:rFonts w:hint="default" w:cs="方正书宋简体"/>
          <w:lang w:val="en-US" w:eastAsia="zh-CN"/>
        </w:rPr>
        <w:t>数据进行校准。</w:t>
      </w:r>
      <w:r>
        <w:rPr>
          <w:rFonts w:hint="default" w:ascii="Times New Roman" w:hAnsi="Times New Roman" w:cs="方正书宋简体"/>
          <w:lang w:val="en-US" w:eastAsia="zh-CN"/>
        </w:rPr>
        <w:t>TCDR</w:t>
      </w:r>
      <w:r>
        <w:rPr>
          <w:rFonts w:hint="default" w:cs="方正书宋简体"/>
          <w:lang w:val="en-US" w:eastAsia="zh-CN"/>
        </w:rPr>
        <w:t>的特点是强调气候数据记录的稳定性和近实时应用价值。此外，</w:t>
      </w:r>
      <w:r>
        <w:rPr>
          <w:rFonts w:hint="default" w:ascii="Times New Roman" w:hAnsi="Times New Roman" w:cs="方正书宋简体"/>
          <w:lang w:val="en-US" w:eastAsia="zh-CN"/>
        </w:rPr>
        <w:t>GEOV1</w:t>
      </w:r>
      <w:r>
        <w:rPr>
          <w:rFonts w:hint="default" w:cs="方正书宋简体"/>
          <w:lang w:val="en-US" w:eastAsia="zh-CN"/>
        </w:rPr>
        <w:t>、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和</w:t>
      </w:r>
      <w:r>
        <w:rPr>
          <w:rFonts w:hint="default" w:ascii="Times New Roman" w:hAnsi="Times New Roman" w:cs="方正书宋简体"/>
          <w:lang w:val="en-US" w:eastAsia="zh-CN"/>
        </w:rPr>
        <w:t>CYCLOPES</w:t>
      </w:r>
      <w:r>
        <w:rPr>
          <w:rFonts w:hint="default" w:cs="方正书宋简体"/>
          <w:lang w:val="en-US" w:eastAsia="zh-CN"/>
        </w:rPr>
        <w:t>等产品也常用于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对比与验证。</w:t>
      </w:r>
      <w:r>
        <w:rPr>
          <w:rFonts w:hint="default" w:ascii="Times New Roman" w:hAnsi="Times New Roman" w:cs="方正书宋简体"/>
          <w:lang w:val="en-US" w:eastAsia="zh-CN"/>
        </w:rPr>
        <w:t>Baret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6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对</w:t>
      </w:r>
      <w:r>
        <w:rPr>
          <w:rFonts w:hint="default" w:ascii="Times New Roman" w:hAnsi="Times New Roman" w:cs="方正书宋简体"/>
          <w:lang w:val="en-US" w:eastAsia="zh-CN"/>
        </w:rPr>
        <w:t>GEOV1</w:t>
      </w:r>
      <w:r>
        <w:rPr>
          <w:rFonts w:hint="default" w:cs="方正书宋简体"/>
          <w:lang w:val="en-US" w:eastAsia="zh-CN"/>
        </w:rPr>
        <w:t>产品的生成原则进行了说明，</w:t>
      </w:r>
      <w:r>
        <w:rPr>
          <w:rFonts w:hint="default" w:ascii="Times New Roman" w:hAnsi="Times New Roman" w:cs="方正书宋简体"/>
          <w:lang w:val="en-US" w:eastAsia="zh-CN"/>
        </w:rPr>
        <w:t>Camacho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7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对</w:t>
      </w:r>
      <w:r>
        <w:rPr>
          <w:rFonts w:hint="default" w:ascii="Times New Roman" w:hAnsi="Times New Roman" w:cs="方正书宋简体"/>
          <w:lang w:val="en-US" w:eastAsia="zh-CN"/>
        </w:rPr>
        <w:t>GEOV1</w:t>
      </w:r>
      <w:r>
        <w:rPr>
          <w:rFonts w:hint="default" w:cs="方正书宋简体"/>
          <w:lang w:val="en-US" w:eastAsia="zh-CN"/>
        </w:rPr>
        <w:t>进行了验证和互比较。</w:t>
      </w:r>
      <w:r>
        <w:rPr>
          <w:rFonts w:hint="default" w:ascii="Times New Roman" w:hAnsi="Times New Roman" w:cs="方正书宋简体"/>
          <w:lang w:val="en-US" w:eastAsia="zh-CN"/>
        </w:rPr>
        <w:t>Yan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8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评估了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/</w:t>
      </w:r>
      <w:r>
        <w:rPr>
          <w:rFonts w:hint="default" w:ascii="Times New Roman" w:hAnsi="Times New Roman" w:cs="方正书宋简体"/>
          <w:lang w:val="en-US" w:eastAsia="zh-CN"/>
        </w:rPr>
        <w:t>FPAR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Collection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6</w:t>
      </w:r>
      <w:r>
        <w:rPr>
          <w:rFonts w:hint="default" w:cs="方正书宋简体"/>
          <w:lang w:val="en-US" w:eastAsia="zh-CN"/>
        </w:rPr>
        <w:t>的一致性改进。</w:t>
      </w:r>
      <w:r>
        <w:rPr>
          <w:rFonts w:hint="default" w:ascii="Times New Roman" w:hAnsi="Times New Roman" w:cs="方正书宋简体"/>
          <w:lang w:val="en-US" w:eastAsia="zh-CN"/>
        </w:rPr>
        <w:t>Fang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9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利用全球地面测量数据验证了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和</w:t>
      </w:r>
      <w:r>
        <w:rPr>
          <w:rFonts w:hint="default" w:ascii="Times New Roman" w:hAnsi="Times New Roman" w:cs="方正书宋简体"/>
          <w:lang w:val="en-US" w:eastAsia="zh-CN"/>
        </w:rPr>
        <w:t>CYCLOPES</w:t>
      </w:r>
      <w:r>
        <w:rPr>
          <w:rFonts w:hint="default" w:cs="方正书宋简体"/>
          <w:lang w:val="en-US" w:eastAsia="zh-CN"/>
        </w:rPr>
        <w:t xml:space="preserve"> 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产品。这些研究共同说明，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产品评价需要从绝对精度、空间格局、季节轨迹、年际变化和长期趋势多个方面展开。</w:t>
      </w:r>
    </w:p>
    <w:p w14:paraId="7E5BAABC">
      <w:pPr>
        <w:pStyle w:val="56"/>
        <w:spacing w:before="124" w:beforeLines="40" w:after="124" w:afterLines="40"/>
        <w:rPr>
          <w:rFonts w:hint="eastAsia" w:cs="黑体"/>
        </w:rPr>
      </w:pPr>
      <w:r>
        <w:rPr>
          <w:rFonts w:hint="eastAsia" w:ascii="Times New Roman" w:hAnsi="Times New Roman"/>
          <w:b/>
          <w:bCs/>
        </w:rPr>
        <w:t>2</w:t>
      </w:r>
      <w:r>
        <w:rPr>
          <w:b/>
          <w:bCs/>
        </w:rPr>
        <w:t>.</w:t>
      </w:r>
      <w:r>
        <w:rPr>
          <w:rFonts w:hint="eastAsia" w:ascii="Times New Roman" w:hAnsi="Times New Roman"/>
          <w:b/>
          <w:bCs/>
          <w:lang w:val="en-US" w:eastAsia="zh-CN"/>
        </w:rPr>
        <w:t>3</w:t>
      </w:r>
      <w:r>
        <w:t xml:space="preserve">  </w:t>
      </w:r>
      <w:r>
        <w:rPr>
          <w:rFonts w:hint="eastAsia" w:ascii="Times New Roman" w:hAnsi="Times New Roman" w:cs="黑体"/>
        </w:rPr>
        <w:t>LAI</w:t>
      </w:r>
      <w:r>
        <w:rPr>
          <w:rFonts w:hint="eastAsia" w:cs="黑体"/>
        </w:rPr>
        <w:t>产品不一致性的主要表现</w:t>
      </w:r>
    </w:p>
    <w:p w14:paraId="5C740B71">
      <w:pPr>
        <w:ind w:firstLine="420"/>
        <w:rPr>
          <w:rFonts w:hint="default" w:cs="方正书宋简体"/>
        </w:rPr>
      </w:pPr>
      <w:r>
        <w:rPr>
          <w:rFonts w:hint="default" w:cs="方正书宋简体"/>
          <w:lang w:val="en-US" w:eastAsia="zh-CN"/>
        </w:rPr>
        <w:t>最直观的不一致是不同产品给出的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绝对值不同。例如，同一森林像元在一个产品中可能表现为较高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，而在另一个产品中可能偏低。这种差异来自多方面：产品对有效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与真实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的定义可能不同；算法对冠层聚集效应的处理不同；输入反射率和植被指数不同；地面验证样本也可能不同。对于区域生态评价而言，绝对值差异会影响对植被茂密程度、森林生产力和生态恢复水平的判断。</w:t>
      </w:r>
    </w:p>
    <w:p w14:paraId="51F2B5C3">
      <w:pPr>
        <w:ind w:firstLine="420"/>
        <w:rPr>
          <w:rFonts w:hint="eastAsia" w:cs="方正书宋简体"/>
        </w:rPr>
      </w:pP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不仅要描述年平均值，还要表达植被生长季开始、峰值和结束。不同产品的时间合成窗口、平滑方法和缺失值填补策略不同，可能导致季节曲线形态不同。例如，云雨较多地区在生长季峰值时期常出现有效观测不足，某些产品可能通过插值或平滑补齐峰值，另一些产品可能低估峰值。若研究者利用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提取物候指标，产品差异会影响</w:t>
      </w:r>
      <w:r>
        <w:rPr>
          <w:rFonts w:hint="default" w:ascii="Times New Roman" w:hAnsi="Times New Roman" w:cs="方正书宋简体"/>
          <w:lang w:val="en-US" w:eastAsia="zh-CN"/>
        </w:rPr>
        <w:t>SOS</w:t>
      </w:r>
      <w:r>
        <w:rPr>
          <w:rFonts w:hint="default" w:cs="方正书宋简体"/>
          <w:lang w:val="en-US" w:eastAsia="zh-CN"/>
        </w:rPr>
        <w:t>、</w:t>
      </w:r>
      <w:r>
        <w:rPr>
          <w:rFonts w:hint="default" w:ascii="Times New Roman" w:hAnsi="Times New Roman" w:cs="方正书宋简体"/>
          <w:lang w:val="en-US" w:eastAsia="zh-CN"/>
        </w:rPr>
        <w:t>EOS</w:t>
      </w:r>
      <w:r>
        <w:rPr>
          <w:rFonts w:hint="default" w:cs="方正书宋简体"/>
          <w:lang w:val="en-US" w:eastAsia="zh-CN"/>
        </w:rPr>
        <w:t>和生长季长度估计。</w:t>
      </w:r>
    </w:p>
    <w:p w14:paraId="431C3D0A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年际变率是生态系统对气候异常、干旱、火灾、病虫害和人类活动响应的重要体现。</w:t>
      </w:r>
      <w:r>
        <w:rPr>
          <w:rFonts w:hint="default" w:ascii="Times New Roman" w:hAnsi="Times New Roman" w:cs="方正书宋简体"/>
          <w:lang w:val="en-US" w:eastAsia="zh-CN"/>
        </w:rPr>
        <w:t>Jiang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1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发现，不同长时间序列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产品的年际变率差别很大，在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前时期，</w:t>
      </w:r>
      <w:r>
        <w:rPr>
          <w:rFonts w:hint="default" w:ascii="Times New Roman" w:hAnsi="Times New Roman" w:cs="方正书宋简体"/>
          <w:lang w:val="en-US" w:eastAsia="zh-CN"/>
        </w:rPr>
        <w:t>GLASS</w:t>
      </w:r>
      <w:r>
        <w:rPr>
          <w:rFonts w:hint="default" w:cs="方正书宋简体"/>
          <w:lang w:val="en-US" w:eastAsia="zh-CN"/>
        </w:rPr>
        <w:t>、</w:t>
      </w:r>
      <w:r>
        <w:rPr>
          <w:rFonts w:hint="default" w:ascii="Times New Roman" w:hAnsi="Times New Roman" w:cs="方正书宋简体"/>
          <w:lang w:val="en-US" w:eastAsia="zh-CN"/>
        </w:rPr>
        <w:t>LAI3g</w:t>
      </w:r>
      <w:r>
        <w:rPr>
          <w:rFonts w:hint="default" w:cs="方正书宋简体"/>
          <w:lang w:val="en-US" w:eastAsia="zh-CN"/>
        </w:rPr>
        <w:t>、</w:t>
      </w:r>
      <w:r>
        <w:rPr>
          <w:rFonts w:hint="default" w:ascii="Times New Roman" w:hAnsi="Times New Roman" w:cs="方正书宋简体"/>
          <w:lang w:val="en-US" w:eastAsia="zh-CN"/>
        </w:rPr>
        <w:t>TCDR</w:t>
      </w:r>
      <w:r>
        <w:rPr>
          <w:rFonts w:hint="default" w:cs="方正书宋简体"/>
          <w:lang w:val="en-US" w:eastAsia="zh-CN"/>
        </w:rPr>
        <w:t>、</w:t>
      </w:r>
      <w:r>
        <w:rPr>
          <w:rFonts w:hint="default" w:ascii="Times New Roman" w:hAnsi="Times New Roman" w:cs="方正书宋简体"/>
          <w:lang w:val="en-US" w:eastAsia="zh-CN"/>
        </w:rPr>
        <w:t>GLOBMAP</w:t>
      </w:r>
      <w:r>
        <w:rPr>
          <w:rFonts w:hint="default" w:cs="方正书宋简体"/>
          <w:lang w:val="en-US" w:eastAsia="zh-CN"/>
        </w:rPr>
        <w:t>的变率强弱存在明显排序。若产品放大年际波动，研究者可能高估植被对气候因子的敏感性；若产品过度平滑，又可能低估极端事件影响。</w:t>
      </w:r>
    </w:p>
    <w:p w14:paraId="151BE4FE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长期趋势不一致是最值得关注的问题。全球变绿研究往往需要判断几十年尺度上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是否显著增加。</w:t>
      </w:r>
      <w:r>
        <w:rPr>
          <w:rFonts w:hint="default" w:ascii="Times New Roman" w:hAnsi="Times New Roman" w:cs="方正书宋简体"/>
          <w:lang w:val="en-US" w:eastAsia="zh-CN"/>
        </w:rPr>
        <w:t>Myneni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12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较早利用卫星资料发现北半球高纬度植被活动增强；</w:t>
      </w:r>
      <w:r>
        <w:rPr>
          <w:rFonts w:hint="default" w:ascii="Times New Roman" w:hAnsi="Times New Roman" w:cs="方正书宋简体"/>
          <w:lang w:val="en-US" w:eastAsia="zh-CN"/>
        </w:rPr>
        <w:t>Zhu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13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进一步讨论了全球变绿及其驱动因素，指出</w:t>
      </w:r>
      <m:oMath>
        <m:r>
          <m:rPr/>
          <w:rPr>
            <w:rFonts w:hint="default" w:ascii="Cambria Math" w:hAnsi="Cambria Math"/>
            <w:sz w:val="21"/>
          </w:rPr>
          <m:t>C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O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 w:cs="方正书宋简体"/>
          <w:lang w:val="en-US" w:eastAsia="zh-CN"/>
        </w:rPr>
        <w:t>施肥、氮沉降、气候变化和土地利用变化等因素均可能发挥作用。然而，如果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产品之间对同一区域的趋势方向或趋势幅度存在差异，那么关于变绿驱动的归因也会受到影响。</w:t>
      </w:r>
      <w:r>
        <w:rPr>
          <w:rFonts w:hint="default" w:ascii="Times New Roman" w:hAnsi="Times New Roman" w:cs="方正书宋简体"/>
          <w:lang w:val="en-US" w:eastAsia="zh-CN"/>
        </w:rPr>
        <w:t>Jiang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1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特别指出，不同产品在重叠时期甚至可能出现趋势方向不一致的现象，这会直接影响对生态系统变化的解释。</w:t>
      </w:r>
    </w:p>
    <w:p w14:paraId="205ED76A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不同生态区的不一致程度也不同。热带雨林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高、云量多、冠层结构复杂，反演容易受饱和和云污染影响；干旱半干旱区植被稀疏，土壤背景对反射率贡献较大；农田区受耕作制度、作物轮作和灌溉影响，季节变化快；寒区受积雪、低太阳高度角和阴影影响明显。因此，全球产品在不同区域的可靠性并不相同。使用者不能假定某一产品在全球所有区域都表现一致。</w:t>
      </w:r>
    </w:p>
    <w:p w14:paraId="54DA5F80">
      <w:pPr>
        <w:pStyle w:val="56"/>
        <w:spacing w:before="124" w:beforeLines="40" w:after="124" w:afterLines="40"/>
        <w:rPr>
          <w:rFonts w:hint="eastAsia" w:cs="黑体"/>
        </w:rPr>
      </w:pPr>
      <w:r>
        <w:rPr>
          <w:rFonts w:hint="eastAsia" w:ascii="Times New Roman" w:hAnsi="Times New Roman"/>
          <w:b/>
          <w:bCs/>
        </w:rPr>
        <w:t>2</w:t>
      </w:r>
      <w:r>
        <w:rPr>
          <w:b/>
          <w:bCs/>
        </w:rPr>
        <w:t>.</w:t>
      </w:r>
      <w:r>
        <w:rPr>
          <w:rFonts w:hint="eastAsia" w:ascii="Times New Roman" w:hAnsi="Times New Roman"/>
          <w:b/>
          <w:bCs/>
          <w:lang w:val="en-US" w:eastAsia="zh-CN"/>
        </w:rPr>
        <w:t>4</w:t>
      </w:r>
      <w:r>
        <w:t xml:space="preserve">  </w:t>
      </w:r>
      <w:r>
        <w:rPr>
          <w:rFonts w:hint="eastAsia" w:cs="黑体"/>
        </w:rPr>
        <w:t>产品不一致性的形成机制</w:t>
      </w:r>
    </w:p>
    <w:p w14:paraId="512A635F">
      <w:pPr>
        <w:ind w:firstLine="420"/>
        <w:rPr>
          <w:rFonts w:hint="default" w:cs="方正书宋简体"/>
        </w:rPr>
      </w:pPr>
      <w:r>
        <w:rPr>
          <w:rFonts w:hint="default" w:cs="方正书宋简体"/>
          <w:lang w:val="en-US" w:eastAsia="zh-CN"/>
        </w:rPr>
        <w:t>长时间序列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产品通常需要整合多颗卫星和多类传感器。</w:t>
      </w:r>
      <w:r>
        <w:rPr>
          <w:rFonts w:hint="default" w:ascii="Times New Roman" w:hAnsi="Times New Roman" w:cs="方正书宋简体"/>
          <w:lang w:val="en-US" w:eastAsia="zh-CN"/>
        </w:rPr>
        <w:t>AVHRR</w:t>
      </w:r>
      <w:r>
        <w:rPr>
          <w:rFonts w:hint="default" w:cs="方正书宋简体"/>
          <w:lang w:val="en-US" w:eastAsia="zh-CN"/>
        </w:rPr>
        <w:t>提供了长时间覆盖，但其不同卫星平台之间存在定标差异，轨道漂移还会改变地方过境时间。过境时间改变意味着太阳高度角、地表温度、阴影比例和大气条件都可能发生系统变化。若这些变化没有被充分校正，遥感反射率中的非生态变化就可能被误判为植被变化。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观测质量较高，但与</w:t>
      </w:r>
      <w:r>
        <w:rPr>
          <w:rFonts w:hint="default" w:ascii="Times New Roman" w:hAnsi="Times New Roman" w:cs="方正书宋简体"/>
          <w:lang w:val="en-US" w:eastAsia="zh-CN"/>
        </w:rPr>
        <w:t>AVHRR</w:t>
      </w:r>
      <w:r>
        <w:rPr>
          <w:rFonts w:hint="default" w:cs="方正书宋简体"/>
          <w:lang w:val="en-US" w:eastAsia="zh-CN"/>
        </w:rPr>
        <w:t>的光谱响应、空间分辨率和观测几何不同。将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时期建立的反演关系应用到</w:t>
      </w:r>
      <w:r>
        <w:rPr>
          <w:rFonts w:hint="default" w:ascii="Times New Roman" w:hAnsi="Times New Roman" w:cs="方正书宋简体"/>
          <w:lang w:val="en-US" w:eastAsia="zh-CN"/>
        </w:rPr>
        <w:t>AVHRR</w:t>
      </w:r>
      <w:r>
        <w:rPr>
          <w:rFonts w:hint="default" w:cs="方正书宋简体"/>
          <w:lang w:val="en-US" w:eastAsia="zh-CN"/>
        </w:rPr>
        <w:t>时期，需要假定二者之间存在稳定转换关系。这个假定在全球尺度上很难完全满足，尤其是在地表异质性强、观测角度差异大或大气条件复杂的区域。</w:t>
      </w:r>
    </w:p>
    <w:p w14:paraId="2337AC89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植被遥感信号在到达传感器之前要穿过大气。气溶胶、水汽、云、薄云、阴影和雪都会改变</w:t>
      </w:r>
      <w:r>
        <w:rPr>
          <w:rFonts w:hint="eastAsia" w:cs="方正书宋简体"/>
          <w:lang w:val="en-US" w:eastAsia="zh-CN"/>
        </w:rPr>
        <w:t>地表的反射率</w:t>
      </w:r>
      <w:r>
        <w:rPr>
          <w:rFonts w:hint="default" w:cs="方正书宋简体"/>
          <w:lang w:val="en-US" w:eastAsia="zh-CN"/>
        </w:rPr>
        <w:t>。红光波段对大气散射较敏感，近红外波段也会受到气溶胶和薄云影响。若产品对云雪剔除较严格，可能造成时间序列缺口；若剔除不严格，云污染会压低或扰动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值。不同产品的质量控制标识和时间合成方法不同。有的产品采用最大值合成以减少云影响，有的产品采用加权平均或曲线平滑，有的产品利用邻近时间插补缺失值。这些方法都会影响季节峰值和年际异常。</w:t>
      </w:r>
    </w:p>
    <w:p w14:paraId="425D0E1A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课程中强调，植被冠层具有明显的二向反射特性。相同地物在不同太阳入射角和传感器观测角下会呈现不同反射率，热点和暗点方向差异尤其明显。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反演若未充分处理</w:t>
      </w:r>
      <w:r>
        <w:rPr>
          <w:rFonts w:hint="default" w:ascii="Times New Roman" w:hAnsi="Times New Roman" w:cs="方正书宋简体"/>
          <w:lang w:val="en-US" w:eastAsia="zh-CN"/>
        </w:rPr>
        <w:t>BRDF</w:t>
      </w:r>
      <w:r>
        <w:rPr>
          <w:rFonts w:hint="default" w:cs="方正书宋简体"/>
          <w:lang w:val="en-US" w:eastAsia="zh-CN"/>
        </w:rPr>
        <w:t>效应，就可能把观测几何变化误认为冠层结构变化。长期产品中，观测几何问题更复杂。不同卫星轨道、传感器扫描方式和时间合成策略会导致角度分布变化。对于冠层结构复杂的森林，</w:t>
      </w:r>
      <w:r>
        <w:rPr>
          <w:rFonts w:hint="default" w:ascii="Times New Roman" w:hAnsi="Times New Roman" w:cs="方正书宋简体"/>
          <w:lang w:val="en-US" w:eastAsia="zh-CN"/>
        </w:rPr>
        <w:t>BRDF</w:t>
      </w:r>
      <w:r>
        <w:rPr>
          <w:rFonts w:hint="default" w:cs="方正书宋简体"/>
          <w:lang w:val="en-US" w:eastAsia="zh-CN"/>
        </w:rPr>
        <w:t>效应可能与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、叶倾角、聚集度和阴影比例相互耦合，使反演结果更不稳定。</w:t>
      </w:r>
    </w:p>
    <w:p w14:paraId="3A20A098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不同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采用的算法并不相同。经验回归方法依赖地面样本和植被指数；物理模型依赖叶片光学性质、冠层结构和背景参数；神经网络依赖训练数据分布和输入特征。即使使用同一传感器数据，不同算法也可能生成不同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。训练样本代表性尤其重要。若训练样本主要来自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时期或某些典型生态区，模型在历史时期、极端气候年份或特殊地表类型上的表现可能不足。机器学习模型常能提高拟合精度，但也可能学习到训练数据中的系统偏差。对于长时间序列研究，算法不仅要在空间上泛化，还要在时间上稳定。</w:t>
      </w:r>
    </w:p>
    <w:p w14:paraId="1C9D5495">
      <w:pPr>
        <w:ind w:firstLine="420"/>
        <w:rPr>
          <w:rFonts w:hint="default" w:cs="方正书宋简体"/>
          <w:lang w:val="en-US" w:eastAsia="zh-CN"/>
        </w:rPr>
      </w:pPr>
      <w:r>
        <w:rPr>
          <w:rFonts w:hint="default" w:cs="方正书宋简体"/>
          <w:lang w:val="en-US" w:eastAsia="zh-CN"/>
        </w:rPr>
        <w:t>遥感像元往往不是单一地物。粗分辨率像元中可能同时包含森林、草地、农田、水体、裸地和建设用地。随着空间分辨率变化，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的平均方式也会变化。地面实测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常来自样方或样线，而卫星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代表像元范围内的综合信号。若验证尺度不匹配，产品误差评价就可能出现偏差。尺度效应还影响时间变化判断。例如，一个区域的真实生态变化可能发生在局部地块，但粗分辨率产品只能看到混合后的平均变化；相反，粗分辨率像元中土地利用结构变化也可能被解释为植被生理变化。对于城市扩张、农田轮作和森林采伐区，尺度效应会使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产品的不一致性更加明显。</w:t>
      </w:r>
    </w:p>
    <w:p w14:paraId="6EF8B0D4">
      <w:pPr>
        <w:jc w:val="center"/>
        <w:rPr>
          <w:rFonts w:hint="default" w:ascii="Times New Roman" w:hAnsi="Times New Roman" w:eastAsia="黑体" w:cs="黑体"/>
          <w:b/>
          <w:bCs/>
          <w:kern w:val="2"/>
          <w:sz w:val="18"/>
          <w:szCs w:val="18"/>
          <w:lang w:val="en-US" w:eastAsia="zh-CN" w:bidi="ar-SA"/>
        </w:rPr>
      </w:pPr>
      <w:r>
        <w:drawing>
          <wp:inline distT="0" distB="0" distL="114300" distR="114300">
            <wp:extent cx="5175250" cy="2544445"/>
            <wp:effectExtent l="0" t="0" r="6350" b="825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41D8">
      <w:pPr>
        <w:ind w:firstLine="420"/>
        <w:jc w:val="center"/>
        <w:rPr>
          <w:rFonts w:hint="eastAsia" w:ascii="Times New Roman" w:hAnsi="Times New Roman" w:eastAsia="黑体" w:cs="黑体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kern w:val="2"/>
          <w:sz w:val="18"/>
          <w:szCs w:val="18"/>
          <w:lang w:val="en-US" w:eastAsia="zh-CN" w:bidi="ar-SA"/>
        </w:rPr>
        <w:t>图2 长时间序列 LAI 产品不一致性的主要来源</w:t>
      </w:r>
    </w:p>
    <w:p w14:paraId="59B7537C">
      <w:pPr>
        <w:pStyle w:val="56"/>
        <w:spacing w:before="124" w:beforeLines="40" w:after="124" w:afterLines="40"/>
        <w:rPr>
          <w:rFonts w:hint="eastAsia" w:cs="黑体"/>
        </w:rPr>
      </w:pPr>
      <w:r>
        <w:rPr>
          <w:rFonts w:hint="eastAsia" w:ascii="Times New Roman" w:hAnsi="Times New Roman"/>
          <w:b/>
          <w:bCs/>
        </w:rPr>
        <w:t>2</w:t>
      </w:r>
      <w:r>
        <w:rPr>
          <w:b/>
          <w:bCs/>
        </w:rPr>
        <w:t>.</w:t>
      </w:r>
      <w:r>
        <w:rPr>
          <w:rFonts w:hint="eastAsia" w:ascii="Times New Roman" w:hAnsi="Times New Roman"/>
          <w:b/>
          <w:bCs/>
          <w:lang w:val="en-US" w:eastAsia="zh-CN"/>
        </w:rPr>
        <w:t>5</w:t>
      </w:r>
      <w:r>
        <w:t xml:space="preserve">  </w:t>
      </w:r>
      <w:r>
        <w:rPr>
          <w:rFonts w:hint="eastAsia" w:cs="黑体"/>
        </w:rPr>
        <w:t>对环境遥感应用的影响</w:t>
      </w:r>
    </w:p>
    <w:p w14:paraId="2A1B0DE5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全球变绿是近几十年生态遥感研究中的重要议题。</w:t>
      </w:r>
      <w:r>
        <w:rPr>
          <w:rFonts w:hint="default" w:ascii="Times New Roman" w:hAnsi="Times New Roman" w:cs="方正书宋简体"/>
          <w:lang w:val="en-US" w:eastAsia="zh-CN"/>
        </w:rPr>
        <w:t>Zhu</w:t>
      </w:r>
      <w:r>
        <w:rPr>
          <w:rFonts w:hint="default" w:cs="方正书宋简体"/>
          <w:lang w:val="en-US" w:eastAsia="zh-CN"/>
        </w:rPr>
        <w:t>等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[</w:t>
      </w:r>
      <w:r>
        <w:rPr>
          <w:rFonts w:hint="default" w:ascii="Times New Roman" w:hAnsi="Times New Roman" w:cs="方正书宋简体" w:eastAsiaTheme="minorEastAsia"/>
          <w:sz w:val="21"/>
          <w:vertAlign w:val="superscript"/>
          <w:lang w:val="en-US" w:eastAsia="zh-CN"/>
        </w:rPr>
        <w:t>13</w:t>
      </w:r>
      <w:r>
        <w:rPr>
          <w:rFonts w:hint="default" w:cs="方正书宋简体" w:asciiTheme="minorAscii" w:hAnsiTheme="minorAscii" w:eastAsiaTheme="minorEastAsia"/>
          <w:sz w:val="21"/>
          <w:vertAlign w:val="superscript"/>
          <w:lang w:val="en-US" w:eastAsia="zh-CN"/>
        </w:rPr>
        <w:t>]</w:t>
      </w:r>
      <w:r>
        <w:rPr>
          <w:rFonts w:hint="default" w:cs="方正书宋简体"/>
          <w:lang w:val="en-US" w:eastAsia="zh-CN"/>
        </w:rPr>
        <w:t>利用多源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资料和生态模型讨论了全球变绿及其驱动因素，指出</w:t>
      </w:r>
      <m:oMath>
        <m:r>
          <m:rPr/>
          <w:rPr>
            <w:rFonts w:hint="default" w:ascii="Cambria Math" w:hAnsi="Cambria Math"/>
            <w:sz w:val="21"/>
          </w:rPr>
          <m:t>C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O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 w:cs="方正书宋简体"/>
          <w:lang w:val="en-US" w:eastAsia="zh-CN"/>
        </w:rPr>
        <w:t>施肥效应是重要解释之一。但全球变绿判断高度依赖长期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或</w:t>
      </w:r>
      <w:r>
        <w:rPr>
          <w:rFonts w:hint="default" w:ascii="Times New Roman" w:hAnsi="Times New Roman" w:cs="方正书宋简体"/>
          <w:lang w:val="en-US" w:eastAsia="zh-CN"/>
        </w:rPr>
        <w:t>NDVI</w:t>
      </w:r>
      <w:r>
        <w:rPr>
          <w:rFonts w:hint="default" w:cs="方正书宋简体"/>
          <w:lang w:val="en-US" w:eastAsia="zh-CN"/>
        </w:rPr>
        <w:t>数据的稳定性。如果</w:t>
      </w:r>
      <w:r>
        <w:rPr>
          <w:rFonts w:hint="eastAsia" w:cs="方正书宋简体"/>
          <w:lang w:val="en-US" w:eastAsia="zh-CN"/>
        </w:rPr>
        <w:t>不同</w:t>
      </w:r>
      <w:r>
        <w:rPr>
          <w:rFonts w:hint="eastAsia" w:ascii="Times New Roman" w:hAnsi="Times New Roman" w:cs="方正书宋简体"/>
          <w:lang w:val="en-US" w:eastAsia="zh-CN"/>
        </w:rPr>
        <w:t>LAI</w:t>
      </w:r>
      <w:r>
        <w:rPr>
          <w:rFonts w:hint="eastAsia" w:cs="方正书宋简体"/>
          <w:lang w:val="en-US" w:eastAsia="zh-CN"/>
        </w:rPr>
        <w:t>产品</w:t>
      </w:r>
      <w:r>
        <w:rPr>
          <w:rFonts w:hint="default" w:cs="方正书宋简体"/>
          <w:lang w:val="en-US" w:eastAsia="zh-CN"/>
        </w:rPr>
        <w:t>在某些区域或时期给出不同趋势，那么驱动归因就会存在不确定性。例如，某一区域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上升可能被解释为气候变暖延长生长季、</w:t>
      </w:r>
      <m:oMath>
        <m:r>
          <m:rPr/>
          <w:rPr>
            <w:rFonts w:hint="default" w:ascii="Cambria Math" w:hAnsi="Cambria Math"/>
            <w:sz w:val="21"/>
          </w:rPr>
          <m:t>C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O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 w:cs="方正书宋简体"/>
          <w:lang w:val="en-US" w:eastAsia="zh-CN"/>
        </w:rPr>
        <w:t>施肥增强光合作用、生态工程改善植被覆盖或农田管理强化。但如果这种上升只存在于一个产品中，而其他产品不支持，则应谨慎解释。</w:t>
      </w:r>
    </w:p>
    <w:p w14:paraId="01AC3874">
      <w:pPr>
        <w:ind w:firstLine="420"/>
        <w:rPr>
          <w:rFonts w:hint="default" w:cs="方正书宋简体"/>
        </w:rPr>
      </w:pP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是估算</w:t>
      </w:r>
      <w:r>
        <w:rPr>
          <w:rFonts w:hint="default" w:ascii="Times New Roman" w:hAnsi="Times New Roman" w:cs="方正书宋简体"/>
          <w:lang w:val="en-US" w:eastAsia="zh-CN"/>
        </w:rPr>
        <w:t>GPP</w:t>
      </w:r>
      <w:r>
        <w:rPr>
          <w:rFonts w:hint="default" w:cs="方正书宋简体"/>
          <w:lang w:val="en-US" w:eastAsia="zh-CN"/>
        </w:rPr>
        <w:t>、</w:t>
      </w:r>
      <w:r>
        <w:rPr>
          <w:rFonts w:hint="default" w:ascii="Times New Roman" w:hAnsi="Times New Roman" w:cs="方正书宋简体"/>
          <w:lang w:val="en-US" w:eastAsia="zh-CN"/>
        </w:rPr>
        <w:t>NPP</w:t>
      </w:r>
      <w:r>
        <w:rPr>
          <w:rFonts w:hint="default" w:cs="方正书宋简体"/>
          <w:lang w:val="en-US" w:eastAsia="zh-CN"/>
        </w:rPr>
        <w:t>和碳汇的重要输入。许多光能利用率模型通过</w:t>
      </w:r>
      <w:r>
        <w:rPr>
          <w:rFonts w:hint="default" w:ascii="Times New Roman" w:hAnsi="Times New Roman" w:cs="方正书宋简体"/>
          <w:lang w:val="en-US" w:eastAsia="zh-CN"/>
        </w:rPr>
        <w:t>FPAR</w:t>
      </w:r>
      <w:r>
        <w:rPr>
          <w:rFonts w:hint="default" w:cs="方正书宋简体"/>
          <w:lang w:val="en-US" w:eastAsia="zh-CN"/>
        </w:rPr>
        <w:t>和光合有效辐射估算</w:t>
      </w:r>
      <w:r>
        <w:rPr>
          <w:rFonts w:hint="default" w:ascii="Times New Roman" w:hAnsi="Times New Roman" w:cs="方正书宋简体"/>
          <w:lang w:val="en-US" w:eastAsia="zh-CN"/>
        </w:rPr>
        <w:t>GPP</w:t>
      </w:r>
      <w:r>
        <w:rPr>
          <w:rFonts w:hint="default" w:cs="方正书宋简体"/>
          <w:lang w:val="en-US" w:eastAsia="zh-CN"/>
        </w:rPr>
        <w:t>，而</w:t>
      </w:r>
      <w:r>
        <w:rPr>
          <w:rFonts w:hint="default" w:ascii="Times New Roman" w:hAnsi="Times New Roman" w:cs="方正书宋简体"/>
          <w:lang w:val="en-US" w:eastAsia="zh-CN"/>
        </w:rPr>
        <w:t>FPAR</w:t>
      </w:r>
      <w:r>
        <w:rPr>
          <w:rFonts w:hint="default" w:cs="方正书宋简体"/>
          <w:lang w:val="en-US" w:eastAsia="zh-CN"/>
        </w:rPr>
        <w:t>与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密切相关。若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偏高，模型可能高估冠层吸收辐射和生产力；若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偏低，则可能低估碳吸收能力。长期趋势偏差还会影响对陆地碳汇增强或减弱的判断。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年际变率对碳循环研究同样关键。干旱年份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下降会减少光合面积和蒸腾，进而影响</w:t>
      </w:r>
      <w:r>
        <w:rPr>
          <w:rFonts w:hint="default" w:ascii="Times New Roman" w:hAnsi="Times New Roman" w:cs="方正书宋简体"/>
          <w:lang w:val="en-US" w:eastAsia="zh-CN"/>
        </w:rPr>
        <w:t>GPP</w:t>
      </w:r>
      <w:r>
        <w:rPr>
          <w:rFonts w:hint="default" w:cs="方正书宋简体"/>
          <w:lang w:val="en-US" w:eastAsia="zh-CN"/>
        </w:rPr>
        <w:t>和水分利用效率。如果某一产品对干旱响应过强，模型可能夸大生态系统脆弱性；如果产品响应过弱，则可能低估极端气候事件的生态影响。</w:t>
      </w:r>
    </w:p>
    <w:p w14:paraId="06F2130B">
      <w:pPr>
        <w:ind w:firstLine="420"/>
        <w:rPr>
          <w:rFonts w:hint="default" w:cs="方正书宋简体"/>
        </w:rPr>
      </w:pPr>
      <w:r>
        <w:rPr>
          <w:rFonts w:hint="default" w:cs="方正书宋简体"/>
          <w:lang w:val="en-US" w:eastAsia="zh-CN"/>
        </w:rPr>
        <w:t>在生态工程、退化土地治理、森林恢复和草地保护中，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常被用作植被恢复程度的指标。若遥感产品显示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持续增加，可能被解释为生态恢复有效；若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下降，则可能提示退化或扰动。然而，产品不一致可能导致管理判断差异。以退耕还林、沙化治理或矿区修复为例，管理者可能关注</w:t>
      </w:r>
      <w:r>
        <w:rPr>
          <w:rFonts w:hint="default" w:ascii="Times New Roman" w:hAnsi="Times New Roman" w:cs="方正书宋简体"/>
          <w:lang w:val="en-US" w:eastAsia="zh-CN"/>
        </w:rPr>
        <w:t>10</w:t>
      </w:r>
      <w:r>
        <w:rPr>
          <w:rFonts w:hint="default" w:cs="方正书宋简体"/>
          <w:lang w:val="en-US" w:eastAsia="zh-CN"/>
        </w:rPr>
        <w:t>年或</w:t>
      </w:r>
      <w:r>
        <w:rPr>
          <w:rFonts w:hint="default" w:ascii="Times New Roman" w:hAnsi="Times New Roman" w:cs="方正书宋简体"/>
          <w:lang w:val="en-US" w:eastAsia="zh-CN"/>
        </w:rPr>
        <w:t>20</w:t>
      </w:r>
      <w:r>
        <w:rPr>
          <w:rFonts w:hint="default" w:cs="方正书宋简体"/>
          <w:lang w:val="en-US" w:eastAsia="zh-CN"/>
        </w:rPr>
        <w:t>年尺度的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变化。若不同产品对趋势方向或幅度判断不同，就需要结合高分辨率影像、地面调查和区域生态背景进行解释。单一产品的结果不宜直接作为政策绩效评价的唯一依据。</w:t>
      </w:r>
    </w:p>
    <w:p w14:paraId="45D1474E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环境遥感还关注火灾、虫害、风倒、干旱和土地利用变化等扰动。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能反映扰动后冠层损失和恢复过程，但长时间序列产品通常时间分辨率和空间分辨率有限。对于突发扰动，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产品可能因时间合成和平滑处理而削弱变化幅度；对于缓慢退化，产品噪声又可能掩盖趋势。变化检测方法要求时间序列具有稳定性。若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中存在传感器切换造成的伪变化，算法可能误判扰动发生时间。若研究目标是近实时监测，则应优先选择质量控制清晰、更新及时且经区域验证的产品；若目标是长期恢复评估，则应关注产品在整个时期内的一致性。</w:t>
      </w:r>
    </w:p>
    <w:p w14:paraId="7DD0DABA">
      <w:pPr>
        <w:pStyle w:val="56"/>
        <w:spacing w:before="124" w:beforeLines="40" w:after="124" w:afterLines="40"/>
        <w:rPr>
          <w:rFonts w:hint="default" w:eastAsia="黑体" w:cs="黑体"/>
          <w:lang w:val="en-US" w:eastAsia="zh-CN"/>
        </w:rPr>
      </w:pPr>
      <w:r>
        <w:rPr>
          <w:rFonts w:hint="eastAsia" w:ascii="Times New Roman" w:hAnsi="Times New Roman"/>
          <w:b/>
          <w:bCs/>
        </w:rPr>
        <w:t>2</w:t>
      </w:r>
      <w:r>
        <w:rPr>
          <w:b/>
          <w:bCs/>
        </w:rPr>
        <w:t>.</w:t>
      </w:r>
      <w:r>
        <w:rPr>
          <w:rFonts w:hint="eastAsia" w:ascii="Times New Roman" w:hAnsi="Times New Roman"/>
          <w:b/>
          <w:bCs/>
          <w:lang w:val="en-US" w:eastAsia="zh-CN"/>
        </w:rPr>
        <w:t>6</w:t>
      </w:r>
      <w:r>
        <w:t xml:space="preserve">  </w:t>
      </w:r>
      <w:r>
        <w:rPr>
          <w:rFonts w:hint="eastAsia" w:ascii="Times New Roman" w:hAnsi="Times New Roman" w:cs="黑体"/>
          <w:lang w:val="en-US" w:eastAsia="zh-CN"/>
        </w:rPr>
        <w:t>LAI</w:t>
      </w:r>
      <w:r>
        <w:rPr>
          <w:rFonts w:hint="eastAsia" w:cs="黑体"/>
          <w:lang w:val="en-US" w:eastAsia="zh-CN"/>
        </w:rPr>
        <w:t>产品使用建议</w:t>
      </w:r>
    </w:p>
    <w:p w14:paraId="7F2FAEBD">
      <w:pPr>
        <w:ind w:firstLine="420"/>
        <w:rPr>
          <w:rFonts w:hint="default" w:cs="方正书宋简体"/>
        </w:rPr>
      </w:pPr>
      <w:r>
        <w:rPr>
          <w:rFonts w:hint="default" w:cs="方正书宋简体"/>
          <w:lang w:val="en-US" w:eastAsia="zh-CN"/>
        </w:rPr>
        <w:t>第一，应根据研究目的选择产品。如果研究关注全球长期趋势，可以选择覆盖时间长、稳定性评价较充分的产品；如果研究关注区域精细管理，应考虑</w:t>
      </w:r>
      <w:r>
        <w:rPr>
          <w:rFonts w:hint="default" w:ascii="Times New Roman" w:hAnsi="Times New Roman" w:cs="方正书宋简体"/>
          <w:lang w:val="en-US" w:eastAsia="zh-CN"/>
        </w:rPr>
        <w:t>MODIS</w:t>
      </w:r>
      <w:r>
        <w:rPr>
          <w:rFonts w:hint="default" w:cs="方正书宋简体"/>
          <w:lang w:val="en-US" w:eastAsia="zh-CN"/>
        </w:rPr>
        <w:t>、</w:t>
      </w:r>
      <w:r>
        <w:rPr>
          <w:rFonts w:hint="default" w:ascii="Times New Roman" w:hAnsi="Times New Roman" w:cs="方正书宋简体"/>
          <w:lang w:val="en-US" w:eastAsia="zh-CN"/>
        </w:rPr>
        <w:t>Sentinel</w:t>
      </w:r>
      <w:r>
        <w:rPr>
          <w:rFonts w:hint="default" w:cs="方正书宋简体"/>
          <w:lang w:val="en-US" w:eastAsia="zh-CN"/>
        </w:rPr>
        <w:t>或更高分辨率产品；如果研究关注气候模型输入，应重视产品的时间一致性和不确定性说明。</w:t>
      </w:r>
    </w:p>
    <w:p w14:paraId="3860FC42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第二，应尽量采用</w:t>
      </w:r>
      <w:r>
        <w:rPr>
          <w:rFonts w:hint="eastAsia" w:cs="方正书宋简体"/>
          <w:lang w:val="en-US" w:eastAsia="zh-CN"/>
        </w:rPr>
        <w:t>多种产品进行比较</w:t>
      </w:r>
      <w:r>
        <w:rPr>
          <w:rFonts w:hint="default" w:cs="方正书宋简体"/>
          <w:lang w:val="en-US" w:eastAsia="zh-CN"/>
        </w:rPr>
        <w:t>。对于关键结论，如某区域是否显著变绿、某生态工程是否有效、某次干旱是否造成长期影响，最好不依赖单一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产品。多产品一致的结论更可信；多产品不一致的区域则应作为不确定性较高区域处理。</w:t>
      </w:r>
    </w:p>
    <w:p w14:paraId="33E4773F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第三，应重视质量控制和预处理。使用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产品时，应查看质量标识、云雪处理</w:t>
      </w:r>
      <w:r>
        <w:rPr>
          <w:rFonts w:hint="eastAsia" w:cs="方正书宋简体"/>
          <w:lang w:val="en-US" w:eastAsia="zh-CN"/>
        </w:rPr>
        <w:t>情况、</w:t>
      </w:r>
      <w:r>
        <w:rPr>
          <w:rFonts w:hint="default" w:cs="方正书宋简体"/>
          <w:lang w:val="en-US" w:eastAsia="zh-CN"/>
        </w:rPr>
        <w:t>时间合成方式和缺失值情况。对于季节曲线分析，可进行合理平滑，但应避免过度平滑真实生态异常。对于趋势分析，应检查传感器切换年份和算法变化年份附近是否存在异常突变。</w:t>
      </w:r>
    </w:p>
    <w:p w14:paraId="52967E64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第四，应结合地面数据或高分辨率数据验证。地面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测量、森林样地、农田观测、无人机影像和高分辨率卫星数据都可作为验证资料。验证时需注意尺度匹配，不能简单把小样方实测值与粗分辨率像元直接比较。</w:t>
      </w:r>
    </w:p>
    <w:p w14:paraId="4E70B0F1">
      <w:pPr>
        <w:ind w:firstLine="420"/>
        <w:rPr>
          <w:rFonts w:hint="eastAsia" w:cs="方正书宋简体"/>
        </w:rPr>
      </w:pPr>
      <w:r>
        <w:rPr>
          <w:rFonts w:hint="default" w:cs="方正书宋简体"/>
          <w:lang w:val="en-US" w:eastAsia="zh-CN"/>
        </w:rPr>
        <w:t>第五，应在结果中报告不确定性。环境遥感研究不应只给出一条趋势线或一幅变化图，还应说明产品选择、误差来源和敏感性。对于管理应用，建议用范围或等级表达结果，而不是给出过于精确的单一数值。</w:t>
      </w:r>
    </w:p>
    <w:p w14:paraId="399036DD">
      <w:pPr>
        <w:jc w:val="center"/>
      </w:pPr>
      <w:r>
        <w:drawing>
          <wp:inline distT="0" distB="0" distL="114300" distR="114300">
            <wp:extent cx="5175885" cy="1652270"/>
            <wp:effectExtent l="0" t="0" r="5715" b="508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68319">
      <w:pPr>
        <w:ind w:firstLine="420"/>
        <w:jc w:val="center"/>
        <w:rPr>
          <w:rFonts w:hint="eastAsia" w:ascii="Times New Roman" w:hAnsi="Times New Roman" w:eastAsia="黑体" w:cs="黑体"/>
          <w:b/>
          <w:bCs/>
          <w:kern w:val="2"/>
          <w:sz w:val="18"/>
          <w:szCs w:val="18"/>
          <w:lang w:val="en-GB" w:eastAsia="zh-CN" w:bidi="ar-SA"/>
        </w:rPr>
      </w:pPr>
      <w:r>
        <w:rPr>
          <w:rFonts w:hint="default" w:ascii="Times New Roman" w:hAnsi="Times New Roman" w:eastAsia="黑体" w:cs="黑体"/>
          <w:b/>
          <w:bCs/>
          <w:kern w:val="2"/>
          <w:sz w:val="18"/>
          <w:szCs w:val="18"/>
          <w:lang w:val="en-US" w:eastAsia="zh-CN" w:bidi="ar-SA"/>
        </w:rPr>
        <w:t>图3 LAI 产品在环境遥感研究中的稳妥使用流程</w:t>
      </w:r>
    </w:p>
    <w:p w14:paraId="01569F1D">
      <w:pPr>
        <w:ind w:firstLine="420"/>
        <w:rPr>
          <w:rFonts w:hint="eastAsia" w:cs="方正书宋简体"/>
          <w:lang w:val="en-US" w:eastAsia="zh-CN"/>
        </w:rPr>
      </w:pPr>
      <w:r>
        <w:rPr>
          <w:rFonts w:hint="eastAsia" w:ascii="Times New Roman" w:hAnsi="Times New Roman" w:cs="方正书宋简体"/>
          <w:lang w:val="en-US" w:eastAsia="zh-CN"/>
        </w:rPr>
        <w:t>L</w:t>
      </w:r>
      <w:r>
        <w:rPr>
          <w:rFonts w:hint="default" w:ascii="Times New Roman" w:hAnsi="Times New Roman" w:cs="方正书宋简体"/>
          <w:lang w:val="en-US" w:eastAsia="zh-CN"/>
        </w:rPr>
        <w:t>AI</w:t>
      </w:r>
      <w:r>
        <w:rPr>
          <w:rFonts w:hint="default" w:cs="方正书宋简体"/>
          <w:lang w:val="en-US" w:eastAsia="zh-CN"/>
        </w:rPr>
        <w:t>产品不一致性很好地说明了环境遥感的“定量化”并不等于简单下载产品并制图。遥感产品背后包含传感器物理、辐射传输、大气校正、观测几何、统计建模和生态学解释等多个环节。理解这些环节，才能正确使用产品。在实际论文或项目中，研究者至少应回答三个问题：第一，为什么选择这个</w:t>
      </w:r>
      <w:r>
        <w:rPr>
          <w:rFonts w:hint="default" w:ascii="Times New Roman" w:hAnsi="Times New Roman" w:cs="方正书宋简体"/>
          <w:lang w:val="en-US" w:eastAsia="zh-CN"/>
        </w:rPr>
        <w:t>LAI</w:t>
      </w:r>
      <w:r>
        <w:rPr>
          <w:rFonts w:hint="default" w:cs="方正书宋简体"/>
          <w:lang w:val="en-US" w:eastAsia="zh-CN"/>
        </w:rPr>
        <w:t>产品；第二，这个产品在研究区和研究时期是否经过验证；第三，产品不确定性会怎样影响最终结论。如果不能回答这些问题，遥感分析就容易停留在“软件操作”和“图件展示”层面，而缺乏可靠的科学解释。</w:t>
      </w:r>
    </w:p>
    <w:p w14:paraId="53BCBB12">
      <w:pPr>
        <w:pStyle w:val="54"/>
        <w:spacing w:before="468" w:beforeLines="150" w:after="312" w:afterLines="100"/>
        <w:rPr>
          <w:rFonts w:ascii="宋体" w:hAnsi="宋体" w:cs="宋体"/>
        </w:rPr>
      </w:pPr>
      <w:r>
        <w:rPr>
          <w:rFonts w:ascii="Times New Roman" w:hAnsi="Times New Roman" w:eastAsiaTheme="minorEastAsia"/>
          <w:b/>
          <w:bCs/>
          <w:sz w:val="28"/>
          <w:szCs w:val="28"/>
        </w:rPr>
        <w:t>3</w:t>
      </w:r>
      <w:r>
        <w:rPr>
          <w:rFonts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结论与讨论</w:t>
      </w:r>
    </w:p>
    <w:p w14:paraId="799D9C19">
      <w:pPr>
        <w:pStyle w:val="56"/>
        <w:spacing w:before="124" w:beforeLines="40" w:after="124" w:afterLines="40"/>
      </w:pPr>
      <w:r>
        <w:rPr>
          <w:rFonts w:ascii="Times New Roman" w:hAnsi="Times New Roman"/>
          <w:b/>
          <w:bCs/>
        </w:rPr>
        <w:t>3</w:t>
      </w:r>
      <w:r>
        <w:rPr>
          <w:b/>
          <w:bCs/>
        </w:rPr>
        <w:t>.</w:t>
      </w:r>
      <w:r>
        <w:rPr>
          <w:rFonts w:ascii="Times New Roman" w:hAnsi="Times New Roman"/>
          <w:b/>
          <w:bCs/>
        </w:rPr>
        <w:t>1</w:t>
      </w:r>
      <w:r>
        <w:t xml:space="preserve">  </w:t>
      </w:r>
      <w:r>
        <w:rPr>
          <w:rFonts w:hint="eastAsia" w:cs="黑体"/>
        </w:rPr>
        <w:t>结论</w:t>
      </w:r>
    </w:p>
    <w:p w14:paraId="708471ED">
      <w:pPr>
        <w:ind w:firstLine="420"/>
        <w:rPr>
          <w:rFonts w:hint="eastAsia" w:cs="方正书宋简体"/>
        </w:rPr>
      </w:pP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是环境遥感中极具代表性的定量植被参数。它既能反映冠层结构，又能连接光合作用、蒸腾、生产力和碳循环等生态过程。长时间序列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产品为全球变化研究和生态环境管理提供了重要数据基础，但其不一致性也限制了部分应用结论的确定性。</w:t>
      </w:r>
    </w:p>
    <w:p w14:paraId="16B4EAF3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现有研究表明，不同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产品在绝对值、季节轨迹、年际变率、长期趋势和空间格局上均可能存在差异。这些差异来自传感器定标、轨道漂移、大气校正、云雪处理、</w:t>
      </w:r>
      <w:r>
        <w:rPr>
          <w:rFonts w:hint="eastAsia" w:ascii="Times New Roman" w:hAnsi="Times New Roman" w:cs="方正书宋简体"/>
        </w:rPr>
        <w:t>BRDF</w:t>
      </w:r>
      <w:r>
        <w:rPr>
          <w:rFonts w:hint="eastAsia" w:cs="方正书宋简体"/>
        </w:rPr>
        <w:t>效应、反演算法、训练样本、尺度效应和验证体系等多个方面。对于全球变绿、碳循环模拟、生态恢复评价和扰动监测等应用，不一致性可能改变对生态变化方向、幅度和驱动机制的判断。</w:t>
      </w:r>
    </w:p>
    <w:p w14:paraId="6425D606">
      <w:pPr>
        <w:ind w:firstLine="420"/>
        <w:rPr>
          <w:rFonts w:cs="方正书宋简体"/>
        </w:rPr>
      </w:pPr>
      <w:r>
        <w:rPr>
          <w:rFonts w:hint="eastAsia" w:cs="方正书宋简体"/>
        </w:rPr>
        <w:t>因此，使用长时间序列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时，应坚持“产品意识”和“不确定性意识”。遥感产品并不是无误差的地表真值，而是基于特定数据源和模型假设生成的估计结果。较稳妥的做法是结合研究目标选择产品，采用多产品比较和区域验证，检查关键时间节点的稳定性，并在结果解释中明确误差来源。</w:t>
      </w:r>
    </w:p>
    <w:p w14:paraId="4CE43275">
      <w:pPr>
        <w:pStyle w:val="56"/>
        <w:bidi w:val="0"/>
        <w:rPr>
          <w:rFonts w:eastAsia="宋体"/>
        </w:rPr>
      </w:pPr>
      <w:r>
        <w:rPr>
          <w:rFonts w:ascii="Times New Roman" w:hAnsi="Times New Roman"/>
          <w:b/>
          <w:bCs/>
        </w:rPr>
        <w:t>3</w:t>
      </w:r>
      <w:r>
        <w:rPr>
          <w:b/>
          <w:bCs/>
        </w:rPr>
        <w:t>.</w:t>
      </w:r>
      <w:r>
        <w:rPr>
          <w:rFonts w:hint="eastAsia" w:ascii="Times New Roman" w:hAnsi="Times New Roman"/>
          <w:b/>
          <w:bCs/>
        </w:rPr>
        <w:t>2</w:t>
      </w:r>
      <w:r>
        <w:rPr>
          <w:b/>
          <w:bCs/>
        </w:rPr>
        <w:t xml:space="preserve">  </w:t>
      </w:r>
      <w:r>
        <w:rPr>
          <w:rFonts w:hint="eastAsia" w:cs="黑体"/>
        </w:rPr>
        <w:t>讨论</w:t>
      </w:r>
      <w:r>
        <w:rPr>
          <w:rFonts w:eastAsia="宋体"/>
        </w:rPr>
        <w:t xml:space="preserve"> </w:t>
      </w:r>
    </w:p>
    <w:p w14:paraId="4DC09069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从方法发展看，未来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  <w:lang w:eastAsia="zh-CN"/>
        </w:rPr>
        <w:t>产品一致性水平</w:t>
      </w:r>
      <w:r>
        <w:rPr>
          <w:rFonts w:hint="eastAsia" w:cs="方正书宋简体"/>
        </w:rPr>
        <w:t>的提高需要依赖多源数据融合和更严格的验证体系。光学遥感能够提供长期连续的植被光谱信息，雷达和激光雷达能够补充冠层结构信息，无人机与地面样方能够提供高分辨率验证数据。如果这些数据能够在统一尺度框架下结合起来，将有助于减小单一传感器和单一算法带来的偏差。</w:t>
      </w:r>
    </w:p>
    <w:p w14:paraId="620E3088">
      <w:pPr>
        <w:ind w:firstLine="420"/>
        <w:rPr>
          <w:rFonts w:hint="eastAsia" w:cs="方正书宋简体"/>
        </w:rPr>
      </w:pPr>
      <w:r>
        <w:rPr>
          <w:rFonts w:hint="eastAsia" w:cs="方正书宋简体"/>
        </w:rPr>
        <w:t>从应用角度看，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产品不一致性并不意味着相关产品不可用，而是提示使用者应更谨慎地解释结果。对于趋势方向明确、多个产品一致支持的区域，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可以提供较强证据；对于产品差异较大的区域，应将其视为不确定性较高的区域，结合气候、土地利用、地面调查和高分辨率影像综合分析。尤其在生态工程评价、碳汇核算和政策管理中，不宜把单一产品输出直接等同于最终结论。</w:t>
      </w:r>
    </w:p>
    <w:p w14:paraId="1DF25104">
      <w:pPr>
        <w:ind w:firstLine="420"/>
      </w:pPr>
      <w:r>
        <w:rPr>
          <w:rFonts w:hint="eastAsia" w:cs="方正书宋简体"/>
        </w:rPr>
        <w:t>从课程学习角度看，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产品不一致性体现了环境遥感的综合性。一个看似简单的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数值背后，包含传感器设计、辐射传输、大气校正、</w:t>
      </w:r>
      <w:r>
        <w:rPr>
          <w:rFonts w:hint="eastAsia" w:ascii="Times New Roman" w:hAnsi="Times New Roman" w:cs="方正书宋简体"/>
        </w:rPr>
        <w:t>BRDF</w:t>
      </w:r>
      <w:r>
        <w:rPr>
          <w:rFonts w:hint="eastAsia" w:cs="方正书宋简体"/>
        </w:rPr>
        <w:t>、植被指数、物理模型、机器学习、尺度转换和生态解释等多方面内容。这也说明，环境遥感研究既需要掌握数据处理技术，也需要理解地表过程和模型假设。未来，随着多源卫星、地面观测、激光雷达、无人机和机器学习方法的发展，</w:t>
      </w:r>
      <w:r>
        <w:rPr>
          <w:rFonts w:hint="eastAsia" w:ascii="Times New Roman" w:hAnsi="Times New Roman" w:cs="方正书宋简体"/>
        </w:rPr>
        <w:t>LAI</w:t>
      </w:r>
      <w:r>
        <w:rPr>
          <w:rFonts w:hint="eastAsia" w:cs="方正书宋简体"/>
        </w:rPr>
        <w:t>产品的一致性和精度有望进一步提高，但其科学应用仍离不开对遥感机理和生态过程的深入理解。</w:t>
      </w:r>
    </w:p>
    <w:p w14:paraId="1D7F6C0B">
      <w:pPr>
        <w:pStyle w:val="72"/>
        <w:jc w:val="both"/>
        <w:rPr>
          <w:rFonts w:cs="黑体"/>
          <w:b w:val="0"/>
          <w:bCs w:val="0"/>
        </w:rPr>
      </w:pPr>
    </w:p>
    <w:p w14:paraId="1D857DF4">
      <w:pPr>
        <w:pStyle w:val="31"/>
        <w:spacing w:after="187" w:afterLines="60"/>
        <w:rPr>
          <w:b/>
          <w:bCs/>
        </w:rPr>
      </w:pPr>
      <w:r>
        <w:rPr>
          <w:rFonts w:hint="eastAsia" w:cs="黑体"/>
          <w:b/>
          <w:bCs/>
        </w:rPr>
        <w:t>参考文献</w:t>
      </w:r>
      <w:r>
        <w:rPr>
          <w:rFonts w:hint="eastAsia" w:cs="黑体"/>
          <w:b/>
          <w:bCs/>
          <w:lang w:eastAsia="zh-CN"/>
        </w:rPr>
        <w:t>（</w:t>
      </w:r>
      <w:r>
        <w:rPr>
          <w:rFonts w:ascii="Times New Roman" w:hAnsi="Times New Roman"/>
          <w:b/>
          <w:bCs/>
        </w:rPr>
        <w:t>References</w:t>
      </w:r>
      <w:r>
        <w:rPr>
          <w:rFonts w:hint="eastAsia"/>
          <w:b/>
          <w:bCs/>
          <w:lang w:eastAsia="zh-CN"/>
        </w:rPr>
        <w:t>）</w:t>
      </w:r>
    </w:p>
    <w:p w14:paraId="35B9B07A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1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Chongya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Youngryel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Hongliang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</w:t>
      </w:r>
      <w:r>
        <w:rPr>
          <w:rFonts w:hint="eastAsia"/>
        </w:rPr>
        <w:t xml:space="preserve"> , </w:t>
      </w:r>
      <w:r>
        <w:rPr>
          <w:rFonts w:hint="eastAsia" w:ascii="Times New Roman" w:hAnsi="Times New Roman"/>
        </w:rPr>
        <w:t>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al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Inconsistencies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interannual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variability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trends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long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term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satellite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leaf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area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index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products</w:t>
      </w:r>
      <w:r>
        <w:rPr>
          <w:rFonts w:hint="eastAsia"/>
        </w:rPr>
        <w:t>.[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change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biology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2017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23</w:t>
      </w:r>
      <w:r>
        <w:rPr>
          <w:rFonts w:hint="eastAsia"/>
        </w:rPr>
        <w:t>(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):</w:t>
      </w:r>
      <w:r>
        <w:rPr>
          <w:rFonts w:hint="eastAsia" w:ascii="Times New Roman" w:hAnsi="Times New Roman"/>
        </w:rPr>
        <w:t>4133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4146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1111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gcb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13787</w:t>
      </w:r>
      <w:r>
        <w:rPr>
          <w:rFonts w:hint="eastAsia"/>
        </w:rPr>
        <w:t>.</w:t>
      </w:r>
    </w:p>
    <w:p w14:paraId="7F08A837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2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Xiao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Zhiqiang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Liang</w:t>
      </w:r>
      <w:r>
        <w:rPr>
          <w:rFonts w:hint="eastAsia"/>
        </w:rPr>
        <w:t xml:space="preserve"> , </w:t>
      </w:r>
      <w:r>
        <w:rPr>
          <w:rFonts w:hint="eastAsia" w:ascii="Times New Roman" w:hAnsi="Times New Roman"/>
        </w:rPr>
        <w:t>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al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Long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Time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Series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Surface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Satellite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Leaf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Area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Index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Product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Derived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From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MODIS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AVHRR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Surface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Reflectance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IEEE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Transactions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Geoscience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Remote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Sensing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2016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54</w:t>
      </w:r>
      <w:r>
        <w:rPr>
          <w:rFonts w:hint="eastAsia"/>
        </w:rPr>
        <w:t>(</w:t>
      </w:r>
      <w:r>
        <w:rPr>
          <w:rFonts w:hint="eastAsia" w:ascii="Times New Roman" w:hAnsi="Times New Roman"/>
        </w:rPr>
        <w:t>9</w:t>
      </w:r>
      <w:r>
        <w:rPr>
          <w:rFonts w:hint="eastAsia"/>
        </w:rPr>
        <w:t>):</w:t>
      </w:r>
      <w:r>
        <w:rPr>
          <w:rFonts w:hint="eastAsia" w:ascii="Times New Roman" w:hAnsi="Times New Roman"/>
        </w:rPr>
        <w:t>5301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5318</w:t>
      </w:r>
      <w:r>
        <w:rPr>
          <w:rFonts w:hint="eastAsia"/>
        </w:rPr>
        <w:t>.</w:t>
      </w:r>
    </w:p>
    <w:p w14:paraId="47A1A124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3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Yang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Ronggao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M</w:t>
      </w:r>
      <w:r>
        <w:rPr>
          <w:rFonts w:hint="eastAsia"/>
        </w:rPr>
        <w:t xml:space="preserve">. 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</w:t>
      </w:r>
      <w:r>
        <w:rPr>
          <w:rFonts w:hint="eastAsia"/>
        </w:rPr>
        <w:t xml:space="preserve"> .</w:t>
      </w:r>
      <w:r>
        <w:rPr>
          <w:rFonts w:hint="eastAsia" w:ascii="Times New Roman" w:hAnsi="Times New Roman"/>
        </w:rPr>
        <w:t>Retrospective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retrieval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long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term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consistent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leaf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area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index</w:t>
      </w:r>
      <w:r>
        <w:rPr>
          <w:rFonts w:hint="eastAsia"/>
        </w:rPr>
        <w:t xml:space="preserve"> (</w:t>
      </w:r>
      <w:r>
        <w:rPr>
          <w:rFonts w:hint="eastAsia" w:ascii="Times New Roman" w:hAnsi="Times New Roman"/>
        </w:rPr>
        <w:t>1981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2011</w:t>
      </w:r>
      <w:r>
        <w:rPr>
          <w:rFonts w:hint="eastAsia"/>
        </w:rPr>
        <w:t xml:space="preserve">) </w:t>
      </w:r>
      <w:r>
        <w:rPr>
          <w:rFonts w:hint="eastAsia" w:ascii="Times New Roman" w:hAnsi="Times New Roman"/>
        </w:rPr>
        <w:t>from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combined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AVHRR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MODIS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data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LONG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TERM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LEAF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AREA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INDEX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Journal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Geophysical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Research</w:t>
      </w:r>
      <w:r>
        <w:rPr>
          <w:rFonts w:hint="eastAsia"/>
        </w:rPr>
        <w:t xml:space="preserve">: </w:t>
      </w:r>
      <w:r>
        <w:rPr>
          <w:rFonts w:hint="eastAsia" w:ascii="Times New Roman" w:hAnsi="Times New Roman"/>
        </w:rPr>
        <w:t>Biogeosciences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2012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117</w:t>
      </w:r>
      <w:r>
        <w:rPr>
          <w:rFonts w:hint="eastAsia"/>
        </w:rPr>
        <w:t>(</w:t>
      </w:r>
      <w:r>
        <w:rPr>
          <w:rFonts w:hint="eastAsia" w:ascii="Times New Roman" w:hAnsi="Times New Roman"/>
        </w:rPr>
        <w:t>G4</w:t>
      </w:r>
      <w:r>
        <w:rPr>
          <w:rFonts w:hint="eastAsia"/>
        </w:rPr>
        <w:t>):</w:t>
      </w:r>
      <w:r>
        <w:rPr>
          <w:rFonts w:hint="eastAsia" w:ascii="Times New Roman" w:hAnsi="Times New Roman"/>
        </w:rPr>
        <w:t>n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a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n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a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1029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2012jg002084</w:t>
      </w:r>
      <w:r>
        <w:rPr>
          <w:rFonts w:hint="eastAsia"/>
        </w:rPr>
        <w:t>.</w:t>
      </w:r>
    </w:p>
    <w:p w14:paraId="68A0651A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4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Zhu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Z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Bi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Pan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Y</w:t>
      </w:r>
      <w:r>
        <w:rPr>
          <w:rFonts w:hint="eastAsia"/>
        </w:rPr>
        <w:t xml:space="preserve"> , </w:t>
      </w:r>
      <w:r>
        <w:rPr>
          <w:rFonts w:hint="eastAsia" w:ascii="Times New Roman" w:hAnsi="Times New Roman"/>
        </w:rPr>
        <w:t>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al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Data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Sets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Vegetation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Leaf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Area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Index</w:t>
      </w:r>
      <w:r>
        <w:rPr>
          <w:rFonts w:hint="eastAsia"/>
        </w:rPr>
        <w:t xml:space="preserve"> (</w:t>
      </w:r>
      <w:r>
        <w:rPr>
          <w:rFonts w:hint="eastAsia" w:ascii="Times New Roman" w:hAnsi="Times New Roman"/>
        </w:rPr>
        <w:t>LAI</w:t>
      </w:r>
      <w:r>
        <w:rPr>
          <w:rFonts w:hint="eastAsia"/>
        </w:rPr>
        <w:t>)</w:t>
      </w:r>
      <w:r>
        <w:rPr>
          <w:rFonts w:hint="eastAsia" w:ascii="Times New Roman" w:hAnsi="Times New Roman"/>
        </w:rPr>
        <w:t>3g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Fraction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Photosynthetically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Active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Radiation</w:t>
      </w:r>
      <w:r>
        <w:rPr>
          <w:rFonts w:hint="eastAsia"/>
        </w:rPr>
        <w:t xml:space="preserve"> (</w:t>
      </w:r>
      <w:r>
        <w:rPr>
          <w:rFonts w:hint="eastAsia" w:ascii="Times New Roman" w:hAnsi="Times New Roman"/>
        </w:rPr>
        <w:t>FPAR</w:t>
      </w:r>
      <w:r>
        <w:rPr>
          <w:rFonts w:hint="eastAsia"/>
        </w:rPr>
        <w:t>)</w:t>
      </w:r>
      <w:r>
        <w:rPr>
          <w:rFonts w:hint="eastAsia" w:ascii="Times New Roman" w:hAnsi="Times New Roman"/>
        </w:rPr>
        <w:t>3g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Derived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from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Inventory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Modeling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Mapping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Studies</w:t>
      </w:r>
      <w:r>
        <w:rPr>
          <w:rFonts w:hint="eastAsia"/>
        </w:rPr>
        <w:t xml:space="preserve"> (</w:t>
      </w:r>
      <w:r>
        <w:rPr>
          <w:rFonts w:hint="eastAsia" w:ascii="Times New Roman" w:hAnsi="Times New Roman"/>
        </w:rPr>
        <w:t>GIMMS</w:t>
      </w:r>
      <w:r>
        <w:rPr>
          <w:rFonts w:hint="eastAsia"/>
        </w:rPr>
        <w:t xml:space="preserve">) </w:t>
      </w:r>
      <w:r>
        <w:rPr>
          <w:rFonts w:hint="eastAsia" w:ascii="Times New Roman" w:hAnsi="Times New Roman"/>
        </w:rPr>
        <w:t>Normalized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Difference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Vegetation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Index</w:t>
      </w:r>
      <w:r>
        <w:rPr>
          <w:rFonts w:hint="eastAsia"/>
        </w:rPr>
        <w:t xml:space="preserve"> (</w:t>
      </w:r>
      <w:r>
        <w:rPr>
          <w:rFonts w:hint="eastAsia" w:ascii="Times New Roman" w:hAnsi="Times New Roman"/>
        </w:rPr>
        <w:t>NDVI3g</w:t>
      </w:r>
      <w:r>
        <w:rPr>
          <w:rFonts w:hint="eastAsia"/>
        </w:rPr>
        <w:t xml:space="preserve">) </w:t>
      </w:r>
      <w:r>
        <w:rPr>
          <w:rFonts w:hint="eastAsia" w:ascii="Times New Roman" w:hAnsi="Times New Roman"/>
        </w:rPr>
        <w:t>for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the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Period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1981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to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2011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Remote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Sensing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2013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5</w:t>
      </w:r>
      <w:r>
        <w:rPr>
          <w:rFonts w:hint="eastAsia"/>
        </w:rPr>
        <w:t>(</w:t>
      </w:r>
      <w:r>
        <w:rPr>
          <w:rFonts w:hint="eastAsia" w:ascii="Times New Roman" w:hAnsi="Times New Roman"/>
        </w:rPr>
        <w:t>2</w:t>
      </w:r>
      <w:r>
        <w:rPr>
          <w:rFonts w:hint="eastAsia"/>
        </w:rPr>
        <w:t>):</w:t>
      </w:r>
      <w:r>
        <w:rPr>
          <w:rFonts w:hint="eastAsia" w:ascii="Times New Roman" w:hAnsi="Times New Roman"/>
        </w:rPr>
        <w:t>927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948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3390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rs5020927</w:t>
      </w:r>
      <w:r>
        <w:rPr>
          <w:rFonts w:hint="eastAsia"/>
        </w:rPr>
        <w:t>.</w:t>
      </w:r>
    </w:p>
    <w:p w14:paraId="07F5F997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5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Claverie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M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Matthews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Vermote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E</w:t>
      </w:r>
      <w:r>
        <w:rPr>
          <w:rFonts w:hint="eastAsia"/>
        </w:rPr>
        <w:t xml:space="preserve"> , </w:t>
      </w:r>
      <w:r>
        <w:rPr>
          <w:rFonts w:hint="eastAsia" w:ascii="Times New Roman" w:hAnsi="Times New Roman"/>
        </w:rPr>
        <w:t>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al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30</w:t>
      </w:r>
      <w:r>
        <w:rPr>
          <w:rFonts w:hint="eastAsia"/>
        </w:rPr>
        <w:t xml:space="preserve">+ </w:t>
      </w:r>
      <w:r>
        <w:rPr>
          <w:rFonts w:hint="eastAsia" w:ascii="Times New Roman" w:hAnsi="Times New Roman"/>
        </w:rPr>
        <w:t>Year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AVHRR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LAI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FAPAR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Climate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Data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Record</w:t>
      </w:r>
      <w:r>
        <w:rPr>
          <w:rFonts w:hint="eastAsia"/>
        </w:rPr>
        <w:t xml:space="preserve">: </w:t>
      </w:r>
      <w:r>
        <w:rPr>
          <w:rFonts w:hint="eastAsia" w:ascii="Times New Roman" w:hAnsi="Times New Roman"/>
        </w:rPr>
        <w:t>Algorithm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Description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Validation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Remote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Sensing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2016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8</w:t>
      </w:r>
      <w:r>
        <w:rPr>
          <w:rFonts w:hint="eastAsia"/>
        </w:rPr>
        <w:t>(</w:t>
      </w:r>
      <w:r>
        <w:rPr>
          <w:rFonts w:hint="eastAsia" w:ascii="Times New Roman" w:hAnsi="Times New Roman"/>
        </w:rPr>
        <w:t>3</w:t>
      </w:r>
      <w:r>
        <w:rPr>
          <w:rFonts w:hint="eastAsia"/>
        </w:rPr>
        <w:t>):</w:t>
      </w:r>
      <w:r>
        <w:rPr>
          <w:rFonts w:hint="eastAsia" w:ascii="Times New Roman" w:hAnsi="Times New Roman"/>
        </w:rPr>
        <w:t>263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3390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rs8030263</w:t>
      </w:r>
      <w:r>
        <w:rPr>
          <w:rFonts w:hint="eastAsia"/>
        </w:rPr>
        <w:t>.</w:t>
      </w:r>
    </w:p>
    <w:p w14:paraId="5D8865E1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6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Baret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Weiss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M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Lacaze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</w:t>
      </w:r>
      <w:r>
        <w:rPr>
          <w:rFonts w:hint="eastAsia"/>
        </w:rPr>
        <w:t xml:space="preserve"> , </w:t>
      </w:r>
      <w:r>
        <w:rPr>
          <w:rFonts w:hint="eastAsia" w:ascii="Times New Roman" w:hAnsi="Times New Roman"/>
        </w:rPr>
        <w:t>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al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GEOV1</w:t>
      </w:r>
      <w:r>
        <w:rPr>
          <w:rFonts w:hint="eastAsia"/>
        </w:rPr>
        <w:t xml:space="preserve">: </w:t>
      </w:r>
      <w:r>
        <w:rPr>
          <w:rFonts w:hint="eastAsia" w:ascii="Times New Roman" w:hAnsi="Times New Roman"/>
        </w:rPr>
        <w:t>LAI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FAPAR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essential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climate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variables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FCOVER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time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series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capitalizing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over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existing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products</w:t>
      </w:r>
      <w:r>
        <w:rPr>
          <w:rFonts w:hint="eastAsia"/>
        </w:rPr>
        <w:t xml:space="preserve">. </w:t>
      </w:r>
      <w:r>
        <w:rPr>
          <w:rFonts w:hint="eastAsia" w:ascii="Times New Roman" w:hAnsi="Times New Roman"/>
        </w:rPr>
        <w:t>Part1</w:t>
      </w:r>
      <w:r>
        <w:rPr>
          <w:rFonts w:hint="eastAsia"/>
        </w:rPr>
        <w:t xml:space="preserve">: </w:t>
      </w:r>
      <w:r>
        <w:rPr>
          <w:rFonts w:hint="eastAsia" w:ascii="Times New Roman" w:hAnsi="Times New Roman"/>
        </w:rPr>
        <w:t>Principles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development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production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Remote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Sensing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Environment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2013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137299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309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1016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rse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2012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12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027</w:t>
      </w:r>
      <w:r>
        <w:rPr>
          <w:rFonts w:hint="eastAsia"/>
        </w:rPr>
        <w:t>.</w:t>
      </w:r>
    </w:p>
    <w:p w14:paraId="1DC5C9AB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7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Camacho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Cernicharo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Lacaze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</w:t>
      </w:r>
      <w:r>
        <w:rPr>
          <w:rFonts w:hint="eastAsia"/>
        </w:rPr>
        <w:t xml:space="preserve"> , </w:t>
      </w:r>
      <w:r>
        <w:rPr>
          <w:rFonts w:hint="eastAsia" w:ascii="Times New Roman" w:hAnsi="Times New Roman"/>
        </w:rPr>
        <w:t>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al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GEOV1</w:t>
      </w:r>
      <w:r>
        <w:rPr>
          <w:rFonts w:hint="eastAsia"/>
        </w:rPr>
        <w:t xml:space="preserve">: </w:t>
      </w:r>
      <w:r>
        <w:rPr>
          <w:rFonts w:hint="eastAsia" w:ascii="Times New Roman" w:hAnsi="Times New Roman"/>
        </w:rPr>
        <w:t>LAI</w:t>
      </w:r>
      <w:r>
        <w:rPr>
          <w:rFonts w:hint="eastAsia"/>
        </w:rPr>
        <w:t xml:space="preserve">, </w:t>
      </w:r>
      <w:r>
        <w:rPr>
          <w:rFonts w:hint="eastAsia" w:ascii="Times New Roman" w:hAnsi="Times New Roman"/>
        </w:rPr>
        <w:t>FAPAR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essential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climate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variables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FCOVER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time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series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capitalizing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over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existing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products</w:t>
      </w:r>
      <w:r>
        <w:rPr>
          <w:rFonts w:hint="eastAsia"/>
        </w:rPr>
        <w:t xml:space="preserve">. </w:t>
      </w:r>
      <w:r>
        <w:rPr>
          <w:rFonts w:hint="eastAsia" w:ascii="Times New Roman" w:hAnsi="Times New Roman"/>
        </w:rPr>
        <w:t>Part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2</w:t>
      </w:r>
      <w:r>
        <w:rPr>
          <w:rFonts w:hint="eastAsia"/>
        </w:rPr>
        <w:t xml:space="preserve">: </w:t>
      </w:r>
      <w:r>
        <w:rPr>
          <w:rFonts w:hint="eastAsia" w:ascii="Times New Roman" w:hAnsi="Times New Roman"/>
        </w:rPr>
        <w:t>Validation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intercomparison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with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reference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products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Remote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Sensing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Environment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2013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137310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329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1016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rse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2013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02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030</w:t>
      </w:r>
      <w:r>
        <w:rPr>
          <w:rFonts w:hint="eastAsia"/>
        </w:rPr>
        <w:t>.</w:t>
      </w:r>
    </w:p>
    <w:p w14:paraId="6ED35C1E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8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Yan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K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Park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Yan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</w:t>
      </w:r>
      <w:r>
        <w:rPr>
          <w:rFonts w:hint="eastAsia"/>
        </w:rPr>
        <w:t xml:space="preserve"> , </w:t>
      </w:r>
      <w:r>
        <w:rPr>
          <w:rFonts w:hint="eastAsia" w:ascii="Times New Roman" w:hAnsi="Times New Roman"/>
        </w:rPr>
        <w:t>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al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Evaluation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MODIS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LAI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FPAR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Product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Collection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6</w:t>
      </w:r>
      <w:r>
        <w:rPr>
          <w:rFonts w:hint="eastAsia"/>
        </w:rPr>
        <w:t xml:space="preserve">. </w:t>
      </w:r>
      <w:r>
        <w:rPr>
          <w:rFonts w:hint="eastAsia" w:ascii="Times New Roman" w:hAnsi="Times New Roman"/>
        </w:rPr>
        <w:t>Part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1</w:t>
      </w:r>
      <w:r>
        <w:rPr>
          <w:rFonts w:hint="eastAsia"/>
        </w:rPr>
        <w:t xml:space="preserve">: </w:t>
      </w:r>
      <w:r>
        <w:rPr>
          <w:rFonts w:hint="eastAsia" w:ascii="Times New Roman" w:hAnsi="Times New Roman"/>
        </w:rPr>
        <w:t>Consistency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Improvements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Remote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Sensing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2016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8</w:t>
      </w:r>
      <w:r>
        <w:rPr>
          <w:rFonts w:hint="eastAsia"/>
        </w:rPr>
        <w:t>(</w:t>
      </w:r>
      <w:r>
        <w:rPr>
          <w:rFonts w:hint="eastAsia" w:ascii="Times New Roman" w:hAnsi="Times New Roman"/>
        </w:rPr>
        <w:t>5</w:t>
      </w:r>
      <w:r>
        <w:rPr>
          <w:rFonts w:hint="eastAsia"/>
        </w:rPr>
        <w:t>):</w:t>
      </w:r>
      <w:r>
        <w:rPr>
          <w:rFonts w:hint="eastAsia" w:ascii="Times New Roman" w:hAnsi="Times New Roman"/>
        </w:rPr>
        <w:t>359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3390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rs8050359</w:t>
      </w:r>
      <w:r>
        <w:rPr>
          <w:rFonts w:hint="eastAsia"/>
        </w:rPr>
        <w:t>.</w:t>
      </w:r>
    </w:p>
    <w:p w14:paraId="096C6A81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9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Fang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H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Wei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Liang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</w:t>
      </w:r>
      <w:r>
        <w:rPr>
          <w:rFonts w:hint="eastAsia"/>
        </w:rPr>
        <w:t xml:space="preserve"> .</w:t>
      </w:r>
      <w:r>
        <w:rPr>
          <w:rFonts w:hint="eastAsia" w:ascii="Times New Roman" w:hAnsi="Times New Roman"/>
        </w:rPr>
        <w:t>Validation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MODIS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CYCLOPES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LAI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products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using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field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measurement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data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Remote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Sensing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Environment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2012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11943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54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1016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rse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2011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12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006</w:t>
      </w:r>
      <w:r>
        <w:rPr>
          <w:rFonts w:hint="eastAsia"/>
        </w:rPr>
        <w:t>.</w:t>
      </w:r>
    </w:p>
    <w:p w14:paraId="6FC15813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Garrigues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Lacaze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Baret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</w:t>
      </w:r>
      <w:r>
        <w:rPr>
          <w:rFonts w:hint="eastAsia"/>
        </w:rPr>
        <w:t xml:space="preserve"> , </w:t>
      </w:r>
      <w:r>
        <w:rPr>
          <w:rFonts w:hint="eastAsia" w:ascii="Times New Roman" w:hAnsi="Times New Roman"/>
        </w:rPr>
        <w:t>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al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Validation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intercomparison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Leaf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Area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Index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products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derived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from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remote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sensing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data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Journal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Geophysical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Research</w:t>
      </w:r>
      <w:r>
        <w:rPr>
          <w:rFonts w:hint="eastAsia"/>
        </w:rPr>
        <w:t xml:space="preserve">: </w:t>
      </w:r>
      <w:r>
        <w:rPr>
          <w:rFonts w:hint="eastAsia" w:ascii="Times New Roman" w:hAnsi="Times New Roman"/>
        </w:rPr>
        <w:t>Biogeosciences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2008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113</w:t>
      </w:r>
      <w:r>
        <w:rPr>
          <w:rFonts w:hint="eastAsia"/>
        </w:rPr>
        <w:t>(</w:t>
      </w:r>
      <w:r>
        <w:rPr>
          <w:rFonts w:hint="eastAsia" w:ascii="Times New Roman" w:hAnsi="Times New Roman"/>
        </w:rPr>
        <w:t>G2</w:t>
      </w:r>
      <w:r>
        <w:rPr>
          <w:rFonts w:hint="eastAsia"/>
        </w:rPr>
        <w:t>):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1029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2007JG000635</w:t>
      </w:r>
      <w:r>
        <w:rPr>
          <w:rFonts w:hint="eastAsia"/>
        </w:rPr>
        <w:t>.</w:t>
      </w:r>
    </w:p>
    <w:p w14:paraId="43206DB5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11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Fang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H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Baret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Plummer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</w:t>
      </w:r>
      <w:r>
        <w:rPr>
          <w:rFonts w:hint="eastAsia"/>
        </w:rPr>
        <w:t xml:space="preserve"> , </w:t>
      </w:r>
      <w:r>
        <w:rPr>
          <w:rFonts w:hint="eastAsia" w:ascii="Times New Roman" w:hAnsi="Times New Roman"/>
        </w:rPr>
        <w:t>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al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An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Overview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Leaf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Area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Index</w:t>
      </w:r>
      <w:r>
        <w:rPr>
          <w:rFonts w:hint="eastAsia"/>
        </w:rPr>
        <w:t xml:space="preserve"> (</w:t>
      </w:r>
      <w:r>
        <w:rPr>
          <w:rFonts w:hint="eastAsia" w:ascii="Times New Roman" w:hAnsi="Times New Roman"/>
        </w:rPr>
        <w:t>LAI</w:t>
      </w:r>
      <w:r>
        <w:rPr>
          <w:rFonts w:hint="eastAsia"/>
        </w:rPr>
        <w:t xml:space="preserve">): </w:t>
      </w:r>
      <w:r>
        <w:rPr>
          <w:rFonts w:hint="eastAsia" w:ascii="Times New Roman" w:hAnsi="Times New Roman"/>
        </w:rPr>
        <w:t>Methods</w:t>
      </w:r>
      <w:r>
        <w:rPr>
          <w:rFonts w:hint="eastAsia"/>
        </w:rPr>
        <w:t xml:space="preserve">, </w:t>
      </w:r>
      <w:r>
        <w:rPr>
          <w:rFonts w:hint="eastAsia" w:ascii="Times New Roman" w:hAnsi="Times New Roman"/>
        </w:rPr>
        <w:t>Products</w:t>
      </w:r>
      <w:r>
        <w:rPr>
          <w:rFonts w:hint="eastAsia"/>
        </w:rPr>
        <w:t xml:space="preserve">, </w:t>
      </w:r>
      <w:r>
        <w:rPr>
          <w:rFonts w:hint="eastAsia" w:ascii="Times New Roman" w:hAnsi="Times New Roman"/>
        </w:rPr>
        <w:t>Validation</w:t>
      </w:r>
      <w:r>
        <w:rPr>
          <w:rFonts w:hint="eastAsia"/>
        </w:rPr>
        <w:t xml:space="preserve">,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Applications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Reviews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Geophysics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2019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57</w:t>
      </w:r>
      <w:r>
        <w:rPr>
          <w:rFonts w:hint="eastAsia"/>
        </w:rPr>
        <w:t>(</w:t>
      </w:r>
      <w:r>
        <w:rPr>
          <w:rFonts w:hint="eastAsia" w:ascii="Times New Roman" w:hAnsi="Times New Roman"/>
        </w:rPr>
        <w:t>3</w:t>
      </w:r>
      <w:r>
        <w:rPr>
          <w:rFonts w:hint="eastAsia"/>
        </w:rPr>
        <w:t>):</w:t>
      </w:r>
      <w:r>
        <w:rPr>
          <w:rFonts w:hint="eastAsia" w:ascii="Times New Roman" w:hAnsi="Times New Roman"/>
        </w:rPr>
        <w:t>739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799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1029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2018RG000608</w:t>
      </w:r>
      <w:r>
        <w:rPr>
          <w:rFonts w:hint="eastAsia"/>
        </w:rPr>
        <w:t>.</w:t>
      </w:r>
    </w:p>
    <w:p w14:paraId="6A2E48B3">
      <w:pPr>
        <w:pStyle w:val="32"/>
        <w:snapToGrid w:val="0"/>
        <w:spacing w:line="336" w:lineRule="auto"/>
        <w:ind w:left="320" w:hanging="32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12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Myneni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B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R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Keeling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</w:t>
      </w:r>
      <w:r>
        <w:rPr>
          <w:rFonts w:hint="eastAsia"/>
        </w:rPr>
        <w:t xml:space="preserve"> ,</w:t>
      </w:r>
      <w:r>
        <w:rPr>
          <w:rFonts w:hint="eastAsia" w:ascii="Times New Roman" w:hAnsi="Times New Roman"/>
        </w:rPr>
        <w:t>Tucker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</w:t>
      </w:r>
      <w:r>
        <w:rPr>
          <w:rFonts w:hint="eastAsia"/>
        </w:rPr>
        <w:t xml:space="preserve"> , </w:t>
      </w:r>
      <w:r>
        <w:rPr>
          <w:rFonts w:hint="eastAsia" w:ascii="Times New Roman" w:hAnsi="Times New Roman"/>
        </w:rPr>
        <w:t>et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al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Increased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plant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growth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the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northern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high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latitudes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from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1981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to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1991</w:t>
      </w:r>
      <w:r>
        <w:rPr>
          <w:rFonts w:hint="eastAsia"/>
        </w:rPr>
        <w:t>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Nature</w:t>
      </w:r>
      <w:r>
        <w:rPr>
          <w:rFonts w:hint="eastAsia"/>
        </w:rPr>
        <w:t xml:space="preserve">: </w:t>
      </w:r>
      <w:r>
        <w:rPr>
          <w:rFonts w:hint="eastAsia" w:ascii="Times New Roman" w:hAnsi="Times New Roman"/>
        </w:rPr>
        <w:t>International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weekly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journal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science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1997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386</w:t>
      </w:r>
      <w:r>
        <w:rPr>
          <w:rFonts w:hint="eastAsia"/>
        </w:rPr>
        <w:t>(</w:t>
      </w:r>
      <w:r>
        <w:rPr>
          <w:rFonts w:hint="eastAsia" w:ascii="Times New Roman" w:hAnsi="Times New Roman"/>
        </w:rPr>
        <w:t>6626</w:t>
      </w:r>
      <w:r>
        <w:rPr>
          <w:rFonts w:hint="eastAsia"/>
        </w:rPr>
        <w:t>):</w:t>
      </w:r>
      <w:r>
        <w:rPr>
          <w:rFonts w:hint="eastAsia" w:ascii="Times New Roman" w:hAnsi="Times New Roman"/>
        </w:rPr>
        <w:t>698</w:t>
      </w:r>
      <w:r>
        <w:rPr>
          <w:rFonts w:hint="eastAsia"/>
        </w:rPr>
        <w:t>-</w:t>
      </w:r>
      <w:r>
        <w:rPr>
          <w:rFonts w:hint="eastAsia" w:ascii="Times New Roman" w:hAnsi="Times New Roman"/>
        </w:rPr>
        <w:t>702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DOI</w:t>
      </w:r>
      <w:r>
        <w:rPr>
          <w:rFonts w:hint="eastAsia"/>
        </w:rPr>
        <w:t>:</w:t>
      </w:r>
      <w:r>
        <w:rPr>
          <w:rFonts w:hint="eastAsia" w:ascii="Times New Roman" w:hAnsi="Times New Roman"/>
        </w:rPr>
        <w:t>10</w:t>
      </w:r>
      <w:r>
        <w:rPr>
          <w:rFonts w:hint="eastAsia"/>
        </w:rPr>
        <w:t>.</w:t>
      </w:r>
      <w:r>
        <w:rPr>
          <w:rFonts w:hint="eastAsia" w:ascii="Times New Roman" w:hAnsi="Times New Roman"/>
        </w:rPr>
        <w:t>1038</w:t>
      </w:r>
      <w:r>
        <w:rPr>
          <w:rFonts w:hint="eastAsia"/>
        </w:rPr>
        <w:t>/</w:t>
      </w:r>
      <w:r>
        <w:rPr>
          <w:rFonts w:hint="eastAsia" w:ascii="Times New Roman" w:hAnsi="Times New Roman"/>
        </w:rPr>
        <w:t>386698a0</w:t>
      </w:r>
      <w:r>
        <w:rPr>
          <w:rFonts w:hint="eastAsia"/>
        </w:rPr>
        <w:t>.</w:t>
      </w:r>
    </w:p>
    <w:p w14:paraId="64657D08">
      <w:pPr>
        <w:pStyle w:val="32"/>
        <w:snapToGrid w:val="0"/>
        <w:spacing w:line="336" w:lineRule="auto"/>
        <w:ind w:left="320" w:hanging="320"/>
      </w:pPr>
      <w:r>
        <w:rPr>
          <w:rFonts w:hint="eastAsia"/>
        </w:rPr>
        <w:t>[</w:t>
      </w:r>
      <w:r>
        <w:rPr>
          <w:rFonts w:hint="eastAsia" w:ascii="Times New Roman" w:hAnsi="Times New Roman"/>
        </w:rPr>
        <w:t>13</w:t>
      </w:r>
      <w:r>
        <w:rPr>
          <w:rFonts w:hint="eastAsia"/>
        </w:rPr>
        <w:t xml:space="preserve">] </w:t>
      </w:r>
      <w:r>
        <w:rPr>
          <w:rFonts w:hint="eastAsia" w:ascii="Times New Roman" w:hAnsi="Times New Roman"/>
        </w:rPr>
        <w:t>Climate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Change</w:t>
      </w:r>
      <w:r>
        <w:rPr>
          <w:rFonts w:hint="eastAsia"/>
        </w:rPr>
        <w:t xml:space="preserve">; </w:t>
      </w:r>
      <w:r>
        <w:rPr>
          <w:rFonts w:hint="eastAsia" w:ascii="Times New Roman" w:hAnsi="Times New Roman"/>
        </w:rPr>
        <w:t>Researchers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from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Peking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University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Detail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New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Studies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Findings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in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the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Area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Climate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Change</w:t>
      </w:r>
      <w:r>
        <w:rPr>
          <w:rFonts w:hint="eastAsia"/>
        </w:rPr>
        <w:t xml:space="preserve"> (</w:t>
      </w:r>
      <w:r>
        <w:rPr>
          <w:rFonts w:hint="eastAsia" w:ascii="Times New Roman" w:hAnsi="Times New Roman"/>
        </w:rPr>
        <w:t>Greening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of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the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Earth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and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its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drivers</w:t>
      </w:r>
      <w:r>
        <w:rPr>
          <w:rFonts w:hint="eastAsia"/>
        </w:rPr>
        <w:t>)[</w:t>
      </w:r>
      <w:r>
        <w:rPr>
          <w:rFonts w:hint="eastAsia" w:ascii="Times New Roman" w:hAnsi="Times New Roman"/>
        </w:rPr>
        <w:t>J</w:t>
      </w:r>
      <w:r>
        <w:rPr>
          <w:rFonts w:hint="eastAsia"/>
        </w:rPr>
        <w:t>].</w:t>
      </w:r>
      <w:r>
        <w:rPr>
          <w:rFonts w:hint="eastAsia" w:ascii="Times New Roman" w:hAnsi="Times New Roman"/>
        </w:rPr>
        <w:t>Global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Warming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Focus</w:t>
      </w:r>
      <w:r>
        <w:rPr>
          <w:rFonts w:hint="eastAsia"/>
        </w:rPr>
        <w:t>,</w:t>
      </w:r>
      <w:r>
        <w:rPr>
          <w:rFonts w:hint="eastAsia" w:ascii="Times New Roman" w:hAnsi="Times New Roman"/>
        </w:rPr>
        <w:t>2016</w:t>
      </w:r>
      <w:r>
        <w:rPr>
          <w:rFonts w:hint="eastAsia"/>
        </w:rPr>
        <w:t>,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0433" w:h="14736"/>
      <w:pgMar w:top="1134" w:right="1134" w:bottom="680" w:left="1134" w:header="680" w:footer="454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5780031-1603-44D4-8223-C395CFDF17A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DFE951FC-C9C4-4A29-9FB0-AB0629C184F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6830C1C8-7A7E-4719-A066-FAC8818B0D37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7D152C2E-171D-4711-AA9C-19973BE36573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方正书宋简体">
    <w:panose1 w:val="02000000000000000000"/>
    <w:charset w:val="86"/>
    <w:family w:val="roman"/>
    <w:pitch w:val="default"/>
    <w:sig w:usb0="A00002BF" w:usb1="184F6CFA" w:usb2="00000012" w:usb3="00000000" w:csb0="00040001" w:csb1="00000000"/>
    <w:embedRegular r:id="rId5" w:fontKey="{AEF5E3A2-7F2E-48AF-B1C7-4B4636115BA9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仿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楷体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B6C13D8F-1450-4C3B-A12F-FD6E2F17A00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9A143">
    <w:pPr>
      <w:pStyle w:val="1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68B8E">
    <w:pPr>
      <w:pStyle w:val="1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D3FBD">
    <w:pPr>
      <w:pStyle w:val="14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291F">
    <w:pPr>
      <w:pBdr>
        <w:bottom w:val="single" w:color="000000" w:sz="4" w:space="1"/>
      </w:pBdr>
      <w:tabs>
        <w:tab w:val="center" w:pos="4026"/>
      </w:tabs>
      <w:spacing w:before="160" w:line="288" w:lineRule="auto"/>
      <w:jc w:val="left"/>
      <w:rPr>
        <w:rFonts w:ascii="宋体"/>
        <w:spacing w:val="-40"/>
        <w:w w:val="200"/>
        <w:sz w:val="18"/>
        <w:szCs w:val="18"/>
      </w:rPr>
    </w:pPr>
    <w:r>
      <w:rPr>
        <w:rFonts w:ascii="宋体"/>
        <w:sz w:val="18"/>
        <w:szCs w:val="18"/>
      </w:rPr>
      <w:tab/>
    </w:r>
    <w:r>
      <w:rPr>
        <w:rFonts w:hint="eastAsia" w:ascii="Times New Roman" w:hAnsi="Times New Roman" w:cs="Times New Roman"/>
        <w:sz w:val="18"/>
        <w:szCs w:val="18"/>
      </w:rPr>
      <w:t>长时间序列叶面积指数产品不一致性及其环境遥感影响</w:t>
    </w:r>
  </w:p>
  <w:p w14:paraId="6BC010A0">
    <w:pPr>
      <w:tabs>
        <w:tab w:val="center" w:pos="4725"/>
        <w:tab w:val="right" w:pos="9546"/>
      </w:tabs>
      <w:spacing w:before="160" w:line="240" w:lineRule="atLeast"/>
      <w:ind w:firstLine="840"/>
      <w:rPr>
        <w:w w:val="2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60225">
    <w:pPr>
      <w:tabs>
        <w:tab w:val="center" w:pos="4008"/>
        <w:tab w:val="right" w:pos="8222"/>
        <w:tab w:val="right" w:pos="9516"/>
      </w:tabs>
      <w:spacing w:before="160" w:line="240" w:lineRule="atLeast"/>
      <w:ind w:left="10" w:leftChars="5" w:firstLine="37" w:firstLineChars="22"/>
      <w:rPr>
        <w:rFonts w:ascii="Arial" w:hAnsi="Arial" w:cs="Arial"/>
        <w:sz w:val="17"/>
        <w:szCs w:val="17"/>
      </w:rPr>
    </w:pPr>
  </w:p>
  <w:p w14:paraId="5EC057A3">
    <w:pPr>
      <w:pBdr>
        <w:bottom w:val="single" w:color="000000" w:sz="4" w:space="1"/>
      </w:pBdr>
      <w:tabs>
        <w:tab w:val="center" w:pos="4008"/>
        <w:tab w:val="right" w:pos="8222"/>
        <w:tab w:val="right" w:pos="9516"/>
      </w:tabs>
      <w:spacing w:before="160" w:line="288" w:lineRule="auto"/>
      <w:rPr>
        <w:sz w:val="17"/>
        <w:szCs w:val="17"/>
      </w:rPr>
    </w:pP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 xml:space="preserve"> PAGE </w:instrText>
    </w:r>
    <w:r>
      <w:rPr>
        <w:rFonts w:ascii="Times New Roman" w:hAnsi="Times New Roman" w:cs="Times New Roman"/>
        <w:sz w:val="18"/>
        <w:szCs w:val="18"/>
      </w:rPr>
      <w:fldChar w:fldCharType="separate"/>
    </w:r>
    <w:r>
      <w:rPr>
        <w:rFonts w:ascii="Times New Roman" w:hAnsi="Times New Roman" w:cs="Times New Roman"/>
        <w:sz w:val="18"/>
        <w:szCs w:val="18"/>
      </w:rPr>
      <w:t>2</w:t>
    </w:r>
    <w:r>
      <w:rPr>
        <w:rFonts w:ascii="Times New Roman" w:hAnsi="Times New Roman" w:cs="Times New Roman"/>
        <w:sz w:val="18"/>
        <w:szCs w:val="18"/>
      </w:rPr>
      <w:fldChar w:fldCharType="end"/>
    </w:r>
    <w:r>
      <w:rPr>
        <w:rFonts w:ascii="Times New Roman" w:hAnsi="Times New Roman" w:cs="Times New Roman"/>
        <w:sz w:val="18"/>
        <w:szCs w:val="18"/>
      </w:rPr>
      <w:tab/>
    </w:r>
    <w:r>
      <w:rPr>
        <w:rFonts w:hint="eastAsia" w:ascii="Times New Roman" w:hAnsi="Times New Roman" w:cs="Times New Roman"/>
        <w:sz w:val="18"/>
        <w:szCs w:val="18"/>
      </w:rPr>
      <w:t>长时间序列叶面积指数产品不一致性及其环境遥感影响</w:t>
    </w:r>
    <w:r>
      <w:rPr>
        <w:rFonts w:ascii="Times New Roman" w:hAnsi="Times New Roman" w:cs="Times New Roman"/>
        <w:sz w:val="18"/>
        <w:szCs w:val="18"/>
      </w:rPr>
      <w:tab/>
    </w:r>
    <w:r>
      <w:rPr>
        <w:rFonts w:ascii="Arial" w:hAnsi="Arial" w:cs="Arial"/>
        <w:i/>
        <w:iCs/>
        <w:sz w:val="17"/>
        <w:szCs w:val="17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663B6">
    <w:pPr>
      <w:tabs>
        <w:tab w:val="center" w:pos="3966"/>
        <w:tab w:val="right" w:pos="8100"/>
        <w:tab w:val="right" w:pos="9810"/>
      </w:tabs>
      <w:ind w:firstLine="340"/>
      <w:rPr>
        <w:sz w:val="17"/>
        <w:szCs w:val="17"/>
        <w:lang w:val="en-GB"/>
      </w:rPr>
    </w:pPr>
  </w:p>
  <w:p w14:paraId="56C2E49B">
    <w:pPr>
      <w:pBdr>
        <w:bottom w:val="double" w:color="auto" w:sz="4" w:space="1"/>
      </w:pBdr>
      <w:tabs>
        <w:tab w:val="center" w:pos="4014"/>
        <w:tab w:val="right" w:pos="8166"/>
        <w:tab w:val="right" w:pos="9792"/>
      </w:tabs>
      <w:jc w:val="center"/>
      <w:rPr>
        <w:rFonts w:ascii="Times New Roman" w:hAnsi="Times New Roman" w:cs="Times New Roman"/>
        <w:sz w:val="17"/>
        <w:szCs w:val="17"/>
        <w:lang w:val="en-GB"/>
      </w:rPr>
    </w:pPr>
    <w:r>
      <w:rPr>
        <w:rFonts w:hint="eastAsia" w:ascii="Times New Roman" w:hAnsi="Times New Roman" w:cs="Times New Roman"/>
        <w:sz w:val="17"/>
        <w:szCs w:val="17"/>
        <w:lang w:val="en-GB"/>
      </w:rPr>
      <w:t>《</w:t>
    </w:r>
    <w:r>
      <w:rPr>
        <w:rFonts w:hint="eastAsia" w:ascii="Times New Roman" w:hAnsi="Times New Roman" w:cs="Times New Roman"/>
        <w:sz w:val="17"/>
        <w:szCs w:val="17"/>
        <w:lang w:val="en-US" w:eastAsia="zh-CN"/>
      </w:rPr>
      <w:t>环境遥感</w:t>
    </w:r>
    <w:r>
      <w:rPr>
        <w:rFonts w:hint="eastAsia" w:ascii="Times New Roman" w:hAnsi="Times New Roman" w:cs="Times New Roman"/>
        <w:sz w:val="17"/>
        <w:szCs w:val="17"/>
        <w:lang w:val="en-GB"/>
      </w:rPr>
      <w:t>》课程论文</w:t>
    </w:r>
  </w:p>
  <w:p w14:paraId="250CF0DF">
    <w:pPr>
      <w:ind w:firstLine="4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230EF"/>
    <w:multiLevelType w:val="multilevel"/>
    <w:tmpl w:val="08C230EF"/>
    <w:lvl w:ilvl="0" w:tentative="0">
      <w:start w:val="1"/>
      <w:numFmt w:val="decimal"/>
      <w:pStyle w:val="17"/>
      <w:lvlText w:val="[%1]"/>
      <w:lvlJc w:val="left"/>
      <w:pPr>
        <w:tabs>
          <w:tab w:val="left" w:pos="720"/>
        </w:tabs>
        <w:ind w:left="340" w:hanging="3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linkStyles/>
  <w:documentProtection w:enforcement="0"/>
  <w:defaultTabStop w:val="425"/>
  <w:doNotHyphenateCaps/>
  <w:evenAndOddHeaders w:val="1"/>
  <w:drawingGridHorizontalSpacing w:val="6"/>
  <w:drawingGridVerticalSpacing w:val="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'),.57:;&gt;?]bc}¢¨°·ˇˉ‐―‖’”…‰′″›℃∶、。〃〉》」』】〕〗〞︶︺︾﹀﹄﹚﹜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733C2E"/>
    <w:rsid w:val="000142B5"/>
    <w:rsid w:val="0002753E"/>
    <w:rsid w:val="00036023"/>
    <w:rsid w:val="00087F50"/>
    <w:rsid w:val="000930C0"/>
    <w:rsid w:val="00094181"/>
    <w:rsid w:val="000E0475"/>
    <w:rsid w:val="000E2F9F"/>
    <w:rsid w:val="00101B6B"/>
    <w:rsid w:val="00105A57"/>
    <w:rsid w:val="001102C7"/>
    <w:rsid w:val="00113F77"/>
    <w:rsid w:val="00131607"/>
    <w:rsid w:val="001C59C7"/>
    <w:rsid w:val="001E1BCF"/>
    <w:rsid w:val="0023072A"/>
    <w:rsid w:val="002524F1"/>
    <w:rsid w:val="002535E2"/>
    <w:rsid w:val="00255D2D"/>
    <w:rsid w:val="002A6F2F"/>
    <w:rsid w:val="002F7F69"/>
    <w:rsid w:val="00314535"/>
    <w:rsid w:val="00316BA0"/>
    <w:rsid w:val="00353B28"/>
    <w:rsid w:val="0036490F"/>
    <w:rsid w:val="003923BB"/>
    <w:rsid w:val="003949E1"/>
    <w:rsid w:val="003A31A6"/>
    <w:rsid w:val="003F4149"/>
    <w:rsid w:val="003F551A"/>
    <w:rsid w:val="003F5685"/>
    <w:rsid w:val="0042710F"/>
    <w:rsid w:val="00431D1D"/>
    <w:rsid w:val="00434E56"/>
    <w:rsid w:val="00436925"/>
    <w:rsid w:val="00454BE1"/>
    <w:rsid w:val="00470D75"/>
    <w:rsid w:val="004C01DE"/>
    <w:rsid w:val="004C1E2F"/>
    <w:rsid w:val="00535134"/>
    <w:rsid w:val="0055283D"/>
    <w:rsid w:val="0059049C"/>
    <w:rsid w:val="005B6DFD"/>
    <w:rsid w:val="005F4EDA"/>
    <w:rsid w:val="00614298"/>
    <w:rsid w:val="00672F49"/>
    <w:rsid w:val="00710611"/>
    <w:rsid w:val="00723DCB"/>
    <w:rsid w:val="00733C2E"/>
    <w:rsid w:val="00733F76"/>
    <w:rsid w:val="0076122E"/>
    <w:rsid w:val="007A4298"/>
    <w:rsid w:val="007C601C"/>
    <w:rsid w:val="00883EF9"/>
    <w:rsid w:val="008C0060"/>
    <w:rsid w:val="008C268F"/>
    <w:rsid w:val="0090055A"/>
    <w:rsid w:val="0090554A"/>
    <w:rsid w:val="00955CD9"/>
    <w:rsid w:val="009B08B6"/>
    <w:rsid w:val="00A50301"/>
    <w:rsid w:val="00A63284"/>
    <w:rsid w:val="00A805FA"/>
    <w:rsid w:val="00AB649E"/>
    <w:rsid w:val="00AD23A9"/>
    <w:rsid w:val="00AE7C89"/>
    <w:rsid w:val="00B32AEB"/>
    <w:rsid w:val="00B6179E"/>
    <w:rsid w:val="00B66969"/>
    <w:rsid w:val="00B978BC"/>
    <w:rsid w:val="00BC6349"/>
    <w:rsid w:val="00BE1F2D"/>
    <w:rsid w:val="00BE7973"/>
    <w:rsid w:val="00C45ED2"/>
    <w:rsid w:val="00C56B92"/>
    <w:rsid w:val="00CA5BF7"/>
    <w:rsid w:val="00CE1A93"/>
    <w:rsid w:val="00CF343F"/>
    <w:rsid w:val="00D745DF"/>
    <w:rsid w:val="00D975D8"/>
    <w:rsid w:val="00DE539E"/>
    <w:rsid w:val="00E45669"/>
    <w:rsid w:val="00E4785A"/>
    <w:rsid w:val="00E70EFB"/>
    <w:rsid w:val="00E83924"/>
    <w:rsid w:val="00ED370A"/>
    <w:rsid w:val="00EE3AED"/>
    <w:rsid w:val="00EF7487"/>
    <w:rsid w:val="00F206AF"/>
    <w:rsid w:val="00F3184C"/>
    <w:rsid w:val="00FC1341"/>
    <w:rsid w:val="00FF20FA"/>
    <w:rsid w:val="01CC10CD"/>
    <w:rsid w:val="2BE242CD"/>
    <w:rsid w:val="2D9E3606"/>
    <w:rsid w:val="36C838F1"/>
    <w:rsid w:val="3CD80668"/>
    <w:rsid w:val="3E8A77BF"/>
    <w:rsid w:val="53672383"/>
    <w:rsid w:val="67FB4030"/>
    <w:rsid w:val="6A5E577F"/>
    <w:rsid w:val="76A24F30"/>
    <w:rsid w:val="796A37C3"/>
    <w:rsid w:val="7E88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iPriority="9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spacing w:before="520" w:after="300" w:line="240" w:lineRule="atLeast"/>
      <w:outlineLvl w:val="0"/>
    </w:pPr>
    <w:rPr>
      <w:rFonts w:eastAsia="黑体"/>
      <w:kern w:val="44"/>
      <w:sz w:val="36"/>
      <w:szCs w:val="36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spacing w:before="160" w:after="80" w:line="240" w:lineRule="atLeast"/>
      <w:outlineLvl w:val="1"/>
    </w:pPr>
    <w:rPr>
      <w:rFonts w:eastAsia="华文仿宋"/>
      <w:sz w:val="28"/>
      <w:szCs w:val="28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spacing w:before="40" w:after="120"/>
      <w:ind w:right="680"/>
      <w:jc w:val="left"/>
      <w:outlineLvl w:val="2"/>
    </w:pPr>
    <w:rPr>
      <w:rFonts w:eastAsia="宋体"/>
      <w:sz w:val="18"/>
      <w:szCs w:val="18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spacing w:before="40" w:after="40"/>
      <w:outlineLvl w:val="3"/>
    </w:pPr>
    <w:rPr>
      <w:rFonts w:eastAsia="方正楷体_GB2312"/>
      <w:kern w:val="21"/>
    </w:rPr>
  </w:style>
  <w:style w:type="paragraph" w:styleId="6">
    <w:name w:val="heading 5"/>
    <w:basedOn w:val="1"/>
    <w:link w:val="26"/>
    <w:qFormat/>
    <w:uiPriority w:val="99"/>
    <w:pPr>
      <w:widowControl/>
      <w:spacing w:before="140" w:after="180"/>
      <w:ind w:firstLine="431"/>
      <w:jc w:val="left"/>
      <w:outlineLvl w:val="4"/>
    </w:pPr>
    <w:rPr>
      <w:rFonts w:eastAsia="方正楷体_GB2312"/>
      <w:kern w:val="0"/>
      <w:sz w:val="22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spacing w:before="120" w:after="60" w:line="250" w:lineRule="auto"/>
      <w:ind w:left="442" w:hanging="442"/>
      <w:outlineLvl w:val="5"/>
    </w:pPr>
    <w:rPr>
      <w:b/>
      <w:bCs/>
      <w:lang w:val="fr-FR"/>
    </w:rPr>
  </w:style>
  <w:style w:type="paragraph" w:styleId="8">
    <w:name w:val="heading 7"/>
    <w:basedOn w:val="1"/>
    <w:next w:val="1"/>
    <w:link w:val="28"/>
    <w:qFormat/>
    <w:uiPriority w:val="99"/>
    <w:pPr>
      <w:keepNext/>
      <w:spacing w:before="160" w:after="140"/>
      <w:jc w:val="left"/>
      <w:outlineLvl w:val="6"/>
    </w:pPr>
    <w:rPr>
      <w:rFonts w:eastAsia="宋体"/>
      <w:sz w:val="23"/>
      <w:szCs w:val="23"/>
    </w:rPr>
  </w:style>
  <w:style w:type="paragraph" w:styleId="9">
    <w:name w:val="heading 9"/>
    <w:basedOn w:val="1"/>
    <w:next w:val="1"/>
    <w:link w:val="29"/>
    <w:qFormat/>
    <w:uiPriority w:val="99"/>
    <w:pPr>
      <w:keepNext/>
      <w:spacing w:before="200" w:after="160"/>
      <w:outlineLvl w:val="8"/>
    </w:pPr>
    <w:rPr>
      <w:rFonts w:eastAsia="方正小标宋简体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Document Map"/>
    <w:basedOn w:val="1"/>
    <w:link w:val="106"/>
    <w:qFormat/>
    <w:uiPriority w:val="99"/>
    <w:rPr>
      <w:rFonts w:ascii="宋体" w:cs="宋体"/>
      <w:sz w:val="18"/>
      <w:szCs w:val="18"/>
    </w:rPr>
  </w:style>
  <w:style w:type="paragraph" w:styleId="11">
    <w:name w:val="Body Text"/>
    <w:basedOn w:val="1"/>
    <w:link w:val="149"/>
    <w:qFormat/>
    <w:uiPriority w:val="99"/>
    <w:pPr>
      <w:spacing w:after="120"/>
    </w:pPr>
  </w:style>
  <w:style w:type="paragraph" w:styleId="12">
    <w:name w:val="Body Text Indent 2"/>
    <w:basedOn w:val="1"/>
    <w:link w:val="148"/>
    <w:qFormat/>
    <w:uiPriority w:val="99"/>
    <w:pPr>
      <w:spacing w:line="264" w:lineRule="auto"/>
      <w:ind w:firstLine="420"/>
    </w:pPr>
    <w:rPr>
      <w:spacing w:val="2"/>
    </w:rPr>
  </w:style>
  <w:style w:type="paragraph" w:styleId="13">
    <w:name w:val="Balloon Text"/>
    <w:basedOn w:val="1"/>
    <w:link w:val="137"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5">
    <w:name w:val="header"/>
    <w:basedOn w:val="1"/>
    <w:link w:val="4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paragraph" w:styleId="16">
    <w:name w:val="Body Text Indent 3"/>
    <w:basedOn w:val="1"/>
    <w:link w:val="159"/>
    <w:qFormat/>
    <w:uiPriority w:val="99"/>
    <w:pPr>
      <w:widowControl/>
      <w:shd w:val="clear" w:color="auto" w:fill="FFFFFF"/>
      <w:spacing w:line="283" w:lineRule="auto"/>
      <w:ind w:firstLine="403"/>
      <w:jc w:val="left"/>
    </w:pPr>
    <w:rPr>
      <w:kern w:val="0"/>
      <w:sz w:val="23"/>
      <w:szCs w:val="23"/>
    </w:rPr>
  </w:style>
  <w:style w:type="paragraph" w:styleId="17">
    <w:name w:val="table of figures"/>
    <w:basedOn w:val="1"/>
    <w:qFormat/>
    <w:uiPriority w:val="99"/>
    <w:pPr>
      <w:numPr>
        <w:ilvl w:val="0"/>
        <w:numId w:val="1"/>
      </w:numPr>
      <w:tabs>
        <w:tab w:val="left" w:pos="454"/>
      </w:tabs>
    </w:pPr>
    <w:rPr>
      <w:kern w:val="0"/>
      <w:sz w:val="18"/>
      <w:szCs w:val="18"/>
    </w:rPr>
  </w:style>
  <w:style w:type="paragraph" w:styleId="1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19">
    <w:name w:val="Body Text First Indent"/>
    <w:basedOn w:val="11"/>
    <w:link w:val="150"/>
    <w:qFormat/>
    <w:uiPriority w:val="99"/>
    <w:pPr>
      <w:ind w:firstLine="227"/>
    </w:pPr>
    <w:rPr>
      <w:rFonts w:eastAsia="宋体"/>
      <w:szCs w:val="21"/>
    </w:rPr>
  </w:style>
  <w:style w:type="character" w:customStyle="1" w:styleId="22">
    <w:name w:val="标题 1 Char"/>
    <w:basedOn w:val="21"/>
    <w:link w:val="2"/>
    <w:qFormat/>
    <w:uiPriority w:val="99"/>
    <w:rPr>
      <w:rFonts w:ascii="Times New Roman" w:hAnsi="Times New Roman" w:eastAsia="方正书宋简体" w:cs="Times New Roman"/>
      <w:b/>
      <w:bCs/>
      <w:spacing w:val="4"/>
      <w:kern w:val="44"/>
      <w:sz w:val="44"/>
      <w:szCs w:val="44"/>
    </w:rPr>
  </w:style>
  <w:style w:type="character" w:customStyle="1" w:styleId="23">
    <w:name w:val="标题 2 Char"/>
    <w:basedOn w:val="21"/>
    <w:link w:val="3"/>
    <w:qFormat/>
    <w:uiPriority w:val="99"/>
    <w:rPr>
      <w:rFonts w:ascii="Cambria" w:hAnsi="Cambria" w:eastAsia="宋体" w:cs="Cambria"/>
      <w:b/>
      <w:bCs/>
      <w:spacing w:val="4"/>
      <w:sz w:val="32"/>
      <w:szCs w:val="32"/>
    </w:rPr>
  </w:style>
  <w:style w:type="character" w:customStyle="1" w:styleId="24">
    <w:name w:val="标题 3 Char"/>
    <w:basedOn w:val="21"/>
    <w:link w:val="4"/>
    <w:qFormat/>
    <w:uiPriority w:val="99"/>
    <w:rPr>
      <w:rFonts w:ascii="Times New Roman" w:hAnsi="Times New Roman" w:eastAsia="方正书宋简体" w:cs="Times New Roman"/>
      <w:b/>
      <w:bCs/>
      <w:spacing w:val="4"/>
      <w:sz w:val="32"/>
      <w:szCs w:val="32"/>
    </w:rPr>
  </w:style>
  <w:style w:type="character" w:customStyle="1" w:styleId="25">
    <w:name w:val="标题 4 Char"/>
    <w:basedOn w:val="21"/>
    <w:link w:val="5"/>
    <w:qFormat/>
    <w:uiPriority w:val="99"/>
    <w:rPr>
      <w:rFonts w:ascii="Cambria" w:hAnsi="Cambria" w:eastAsia="宋体" w:cs="Cambria"/>
      <w:b/>
      <w:bCs/>
      <w:spacing w:val="4"/>
      <w:sz w:val="28"/>
      <w:szCs w:val="28"/>
    </w:rPr>
  </w:style>
  <w:style w:type="character" w:customStyle="1" w:styleId="26">
    <w:name w:val="标题 5 Char"/>
    <w:basedOn w:val="21"/>
    <w:link w:val="6"/>
    <w:qFormat/>
    <w:uiPriority w:val="99"/>
    <w:rPr>
      <w:rFonts w:ascii="Times New Roman" w:hAnsi="Times New Roman" w:eastAsia="方正书宋简体" w:cs="Times New Roman"/>
      <w:b/>
      <w:bCs/>
      <w:spacing w:val="4"/>
      <w:sz w:val="28"/>
      <w:szCs w:val="28"/>
    </w:rPr>
  </w:style>
  <w:style w:type="character" w:customStyle="1" w:styleId="27">
    <w:name w:val="标题 6 Char"/>
    <w:basedOn w:val="21"/>
    <w:link w:val="7"/>
    <w:qFormat/>
    <w:uiPriority w:val="99"/>
    <w:rPr>
      <w:rFonts w:ascii="Cambria" w:hAnsi="Cambria" w:eastAsia="宋体" w:cs="Cambria"/>
      <w:b/>
      <w:bCs/>
      <w:spacing w:val="4"/>
      <w:sz w:val="24"/>
      <w:szCs w:val="24"/>
    </w:rPr>
  </w:style>
  <w:style w:type="character" w:customStyle="1" w:styleId="28">
    <w:name w:val="标题 7 Char"/>
    <w:basedOn w:val="21"/>
    <w:link w:val="8"/>
    <w:qFormat/>
    <w:uiPriority w:val="99"/>
    <w:rPr>
      <w:rFonts w:ascii="Times New Roman" w:hAnsi="Times New Roman" w:eastAsia="方正书宋简体" w:cs="Times New Roman"/>
      <w:b/>
      <w:bCs/>
      <w:spacing w:val="4"/>
      <w:sz w:val="24"/>
      <w:szCs w:val="24"/>
    </w:rPr>
  </w:style>
  <w:style w:type="character" w:customStyle="1" w:styleId="29">
    <w:name w:val="标题 9 Char"/>
    <w:basedOn w:val="21"/>
    <w:link w:val="9"/>
    <w:qFormat/>
    <w:uiPriority w:val="99"/>
    <w:rPr>
      <w:rFonts w:ascii="Cambria" w:hAnsi="Cambria" w:eastAsia="宋体" w:cs="Cambria"/>
      <w:spacing w:val="4"/>
      <w:sz w:val="21"/>
      <w:szCs w:val="21"/>
    </w:rPr>
  </w:style>
  <w:style w:type="paragraph" w:customStyle="1" w:styleId="30">
    <w:name w:val="标题1"/>
    <w:basedOn w:val="1"/>
    <w:qFormat/>
    <w:uiPriority w:val="99"/>
    <w:pPr>
      <w:spacing w:before="1040" w:after="520"/>
      <w:outlineLvl w:val="0"/>
    </w:pPr>
    <w:rPr>
      <w:rFonts w:eastAsia="黑体"/>
      <w:sz w:val="36"/>
      <w:szCs w:val="36"/>
    </w:rPr>
  </w:style>
  <w:style w:type="paragraph" w:customStyle="1" w:styleId="31">
    <w:name w:val="参考文献标题"/>
    <w:qFormat/>
    <w:uiPriority w:val="99"/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paragraph" w:customStyle="1" w:styleId="32">
    <w:name w:val="参考文献正文"/>
    <w:qFormat/>
    <w:uiPriority w:val="99"/>
    <w:pPr>
      <w:ind w:left="200" w:hanging="200" w:hangingChars="200"/>
      <w:jc w:val="both"/>
    </w:pPr>
    <w:rPr>
      <w:rFonts w:ascii="Times New Roman" w:hAnsi="Times New Roman" w:eastAsia="宋体" w:cs="Times New Roman"/>
      <w:kern w:val="2"/>
      <w:sz w:val="16"/>
      <w:szCs w:val="16"/>
      <w:lang w:val="en-US" w:eastAsia="zh-CN" w:bidi="ar-SA"/>
    </w:rPr>
  </w:style>
  <w:style w:type="character" w:customStyle="1" w:styleId="33">
    <w:name w:val="页脚 Char"/>
    <w:basedOn w:val="21"/>
    <w:link w:val="14"/>
    <w:qFormat/>
    <w:uiPriority w:val="99"/>
    <w:rPr>
      <w:rFonts w:ascii="Calibri" w:hAnsi="Calibri" w:eastAsia="宋体" w:cs="Calibri"/>
      <w:kern w:val="2"/>
      <w:sz w:val="18"/>
      <w:szCs w:val="18"/>
    </w:rPr>
  </w:style>
  <w:style w:type="paragraph" w:customStyle="1" w:styleId="34">
    <w:name w:val="中文标题"/>
    <w:qFormat/>
    <w:uiPriority w:val="99"/>
    <w:pPr>
      <w:spacing w:before="520"/>
      <w:ind w:left="300" w:leftChars="300" w:right="300" w:rightChars="300"/>
      <w:jc w:val="center"/>
      <w:outlineLvl w:val="0"/>
    </w:pPr>
    <w:rPr>
      <w:rFonts w:ascii="Times New Roman" w:hAnsi="Times New Roman" w:eastAsia="黑体" w:cs="Times New Roman"/>
      <w:kern w:val="2"/>
      <w:sz w:val="36"/>
      <w:szCs w:val="36"/>
      <w:lang w:val="en-US" w:eastAsia="zh-CN" w:bidi="ar-SA"/>
    </w:rPr>
  </w:style>
  <w:style w:type="paragraph" w:customStyle="1" w:styleId="35">
    <w:name w:val="英文标题"/>
    <w:basedOn w:val="2"/>
    <w:uiPriority w:val="99"/>
    <w:pPr>
      <w:spacing w:before="600" w:after="240" w:line="250" w:lineRule="auto"/>
    </w:pPr>
    <w:rPr>
      <w:b/>
      <w:bCs/>
      <w:kern w:val="0"/>
      <w:sz w:val="28"/>
      <w:szCs w:val="28"/>
    </w:rPr>
  </w:style>
  <w:style w:type="character" w:customStyle="1" w:styleId="36">
    <w:name w:val="英文标题 Char"/>
    <w:basedOn w:val="21"/>
    <w:qFormat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character" w:customStyle="1" w:styleId="37">
    <w:name w:val="中文标题 Char"/>
    <w:basedOn w:val="21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38">
    <w:name w:val="中文作者"/>
    <w:qFormat/>
    <w:uiPriority w:val="99"/>
    <w:pPr>
      <w:spacing w:before="240"/>
      <w:ind w:left="300" w:leftChars="300" w:right="300" w:rightChars="300"/>
      <w:jc w:val="center"/>
    </w:pPr>
    <w:rPr>
      <w:rFonts w:ascii="Times New Roman" w:hAnsi="Times New Roman" w:eastAsia="华文仿宋" w:cs="Times New Roman"/>
      <w:kern w:val="2"/>
      <w:sz w:val="28"/>
      <w:szCs w:val="28"/>
      <w:lang w:val="en-US" w:eastAsia="zh-CN" w:bidi="ar-SA"/>
    </w:rPr>
  </w:style>
  <w:style w:type="paragraph" w:customStyle="1" w:styleId="39">
    <w:name w:val="英文作者"/>
    <w:qFormat/>
    <w:uiPriority w:val="99"/>
    <w:pPr>
      <w:spacing w:before="284"/>
      <w:ind w:left="300" w:leftChars="300" w:right="300" w:rightChars="300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0">
    <w:name w:val="中文作者 Char"/>
    <w:basedOn w:val="36"/>
    <w:qFormat/>
    <w:uiPriority w:val="99"/>
    <w:rPr>
      <w:rFonts w:ascii="Calibri" w:hAnsi="Calibri" w:eastAsia="方正楷体_GB2312" w:cs="Calibri"/>
      <w:kern w:val="2"/>
      <w:sz w:val="22"/>
      <w:szCs w:val="22"/>
      <w:lang w:val="en-US" w:eastAsia="zh-CN"/>
    </w:rPr>
  </w:style>
  <w:style w:type="character" w:customStyle="1" w:styleId="41">
    <w:name w:val="英文作者 Char"/>
    <w:basedOn w:val="21"/>
    <w:qFormat/>
    <w:uiPriority w:val="99"/>
    <w:rPr>
      <w:rFonts w:ascii="Times New Roman" w:hAnsi="Times New Roman" w:eastAsia="宋体" w:cs="Times New Roman"/>
      <w:kern w:val="2"/>
      <w:sz w:val="22"/>
      <w:szCs w:val="22"/>
      <w:lang w:val="en-US" w:eastAsia="zh-CN"/>
    </w:rPr>
  </w:style>
  <w:style w:type="character" w:customStyle="1" w:styleId="42">
    <w:name w:val="页眉 Char"/>
    <w:basedOn w:val="21"/>
    <w:link w:val="15"/>
    <w:qFormat/>
    <w:uiPriority w:val="99"/>
    <w:rPr>
      <w:rFonts w:ascii="Calibri" w:hAnsi="Calibri" w:eastAsia="宋体" w:cs="Calibri"/>
      <w:kern w:val="2"/>
      <w:sz w:val="18"/>
      <w:szCs w:val="18"/>
    </w:rPr>
  </w:style>
  <w:style w:type="paragraph" w:customStyle="1" w:styleId="43">
    <w:name w:val="英文作者单位"/>
    <w:qFormat/>
    <w:uiPriority w:val="99"/>
    <w:pPr>
      <w:spacing w:before="170"/>
      <w:jc w:val="center"/>
    </w:pPr>
    <w:rPr>
      <w:rFonts w:ascii="Times New Roman" w:hAnsi="Times New Roman" w:eastAsia="宋体" w:cs="Times New Roman"/>
      <w:kern w:val="2"/>
      <w:sz w:val="16"/>
      <w:szCs w:val="16"/>
      <w:lang w:val="en-US" w:eastAsia="zh-CN" w:bidi="ar-SA"/>
    </w:rPr>
  </w:style>
  <w:style w:type="paragraph" w:customStyle="1" w:styleId="44">
    <w:name w:val="中文关键词"/>
    <w:qFormat/>
    <w:uiPriority w:val="99"/>
    <w:pPr>
      <w:ind w:left="454" w:right="454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customStyle="1" w:styleId="45">
    <w:name w:val="英文作者单位 Char"/>
    <w:basedOn w:val="40"/>
    <w:qFormat/>
    <w:uiPriority w:val="99"/>
    <w:rPr>
      <w:rFonts w:ascii="Calibri" w:hAnsi="Calibri" w:eastAsia="宋体" w:cs="Calibri"/>
      <w:i/>
      <w:iCs/>
      <w:kern w:val="2"/>
      <w:sz w:val="22"/>
      <w:szCs w:val="22"/>
      <w:lang w:val="en-US" w:eastAsia="zh-CN"/>
    </w:rPr>
  </w:style>
  <w:style w:type="paragraph" w:customStyle="1" w:styleId="46">
    <w:name w:val="英文关键词"/>
    <w:qFormat/>
    <w:uiPriority w:val="99"/>
    <w:pPr>
      <w:spacing w:after="567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7">
    <w:name w:val="中文关键词 Char"/>
    <w:basedOn w:val="40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48">
    <w:name w:val="中文摘要"/>
    <w:qFormat/>
    <w:uiPriority w:val="99"/>
    <w:pPr>
      <w:spacing w:beforeLines="100"/>
      <w:ind w:left="454" w:right="454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customStyle="1" w:styleId="49">
    <w:name w:val="英文关键词 Char"/>
    <w:basedOn w:val="40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50">
    <w:name w:val="英文摘要"/>
    <w:qFormat/>
    <w:uiPriority w:val="99"/>
    <w:pPr>
      <w:spacing w:beforeLines="10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51">
    <w:name w:val="中文摘要 Char"/>
    <w:basedOn w:val="40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52">
    <w:name w:val="中图分类号"/>
    <w:qFormat/>
    <w:uiPriority w:val="99"/>
    <w:pPr>
      <w:ind w:left="300" w:leftChars="300" w:right="300" w:rightChars="300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customStyle="1" w:styleId="53">
    <w:name w:val="英文摘要 Char"/>
    <w:basedOn w:val="40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54">
    <w:name w:val="一级标题"/>
    <w:uiPriority w:val="99"/>
    <w:pPr>
      <w:spacing w:before="240" w:after="240"/>
      <w:outlineLvl w:val="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55">
    <w:name w:val="中图分类号 Char"/>
    <w:basedOn w:val="40"/>
    <w:qFormat/>
    <w:uiPriority w:val="99"/>
    <w:rPr>
      <w:rFonts w:ascii="Calibri" w:hAnsi="Calibri" w:eastAsia="方正楷体_GB2312" w:cs="Calibri"/>
      <w:kern w:val="2"/>
      <w:sz w:val="22"/>
      <w:szCs w:val="22"/>
      <w:lang w:val="en-US" w:eastAsia="zh-CN"/>
    </w:rPr>
  </w:style>
  <w:style w:type="paragraph" w:customStyle="1" w:styleId="56">
    <w:name w:val="二级标题"/>
    <w:qFormat/>
    <w:uiPriority w:val="99"/>
    <w:pPr>
      <w:tabs>
        <w:tab w:val="left" w:pos="720"/>
      </w:tabs>
      <w:spacing w:before="160" w:after="160"/>
      <w:outlineLvl w:val="1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customStyle="1" w:styleId="57">
    <w:name w:val="一级标题 Char"/>
    <w:basedOn w:val="21"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58">
    <w:name w:val="三级标题"/>
    <w:uiPriority w:val="99"/>
    <w:pPr>
      <w:tabs>
        <w:tab w:val="left" w:pos="720"/>
      </w:tabs>
      <w:outlineLvl w:val="3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customStyle="1" w:styleId="59">
    <w:name w:val="二级标题 Char"/>
    <w:basedOn w:val="21"/>
    <w:qFormat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60">
    <w:name w:val="四级标题"/>
    <w:uiPriority w:val="99"/>
    <w:pPr>
      <w:ind w:firstLine="200" w:firstLineChars="200"/>
      <w:outlineLvl w:val="4"/>
    </w:pPr>
    <w:rPr>
      <w:rFonts w:ascii="Times New Roman" w:hAnsi="Times New Roman" w:eastAsia="方正楷体_GB2312" w:cs="Times New Roman"/>
      <w:kern w:val="2"/>
      <w:sz w:val="21"/>
      <w:szCs w:val="21"/>
      <w:lang w:val="en-US" w:eastAsia="zh-CN" w:bidi="ar-SA"/>
    </w:rPr>
  </w:style>
  <w:style w:type="character" w:customStyle="1" w:styleId="61">
    <w:name w:val="三级标题 Char"/>
    <w:basedOn w:val="21"/>
    <w:qFormat/>
    <w:uiPriority w:val="99"/>
    <w:rPr>
      <w:rFonts w:ascii="Calibri" w:hAnsi="Calibri" w:eastAsia="方正楷体_GB2312" w:cs="Calibri"/>
      <w:kern w:val="2"/>
      <w:sz w:val="22"/>
      <w:szCs w:val="22"/>
      <w:lang w:val="en-US" w:eastAsia="zh-CN"/>
    </w:rPr>
  </w:style>
  <w:style w:type="paragraph" w:customStyle="1" w:styleId="62">
    <w:name w:val="五级标题"/>
    <w:qFormat/>
    <w:uiPriority w:val="99"/>
    <w:pPr>
      <w:outlineLvl w:val="5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customStyle="1" w:styleId="63">
    <w:name w:val="四级标题 Char"/>
    <w:basedOn w:val="59"/>
    <w:qFormat/>
    <w:uiPriority w:val="99"/>
    <w:rPr>
      <w:rFonts w:ascii="Times New Roman" w:hAnsi="Times New Roman" w:eastAsia="方正楷体_GB2312" w:cs="Times New Roman"/>
      <w:kern w:val="2"/>
      <w:sz w:val="22"/>
      <w:szCs w:val="22"/>
      <w:lang w:val="en-US" w:eastAsia="zh-CN"/>
    </w:rPr>
  </w:style>
  <w:style w:type="paragraph" w:customStyle="1" w:styleId="64">
    <w:name w:val="编者按"/>
    <w:qFormat/>
    <w:uiPriority w:val="99"/>
    <w:rPr>
      <w:rFonts w:ascii="Times New Roman" w:hAnsi="Times New Roman" w:eastAsia="方正楷体_GB2312" w:cs="Times New Roman"/>
      <w:kern w:val="2"/>
      <w:sz w:val="24"/>
      <w:szCs w:val="24"/>
      <w:lang w:val="en-US" w:eastAsia="zh-CN" w:bidi="ar-SA"/>
    </w:rPr>
  </w:style>
  <w:style w:type="character" w:customStyle="1" w:styleId="65">
    <w:name w:val="五级标题 Char"/>
    <w:basedOn w:val="59"/>
    <w:qFormat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66">
    <w:name w:val="研究背景"/>
    <w:qFormat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customStyle="1" w:styleId="67">
    <w:name w:val="通讯作者"/>
    <w:qFormat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customStyle="1" w:styleId="68">
    <w:name w:val="收稿日期"/>
    <w:qFormat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69">
    <w:name w:val="图题"/>
    <w:qFormat/>
    <w:uiPriority w:val="99"/>
    <w:pPr>
      <w:jc w:val="center"/>
    </w:pPr>
    <w:rPr>
      <w:rFonts w:ascii="Times New Roman" w:hAnsi="Times New Roman" w:eastAsia="黑体" w:cs="Times New Roman"/>
      <w:kern w:val="2"/>
      <w:sz w:val="18"/>
      <w:szCs w:val="18"/>
      <w:lang w:val="en-US" w:eastAsia="zh-CN" w:bidi="ar-SA"/>
    </w:rPr>
  </w:style>
  <w:style w:type="character" w:customStyle="1" w:styleId="70">
    <w:name w:val="图题 Char"/>
    <w:basedOn w:val="21"/>
    <w:qFormat/>
    <w:uiPriority w:val="99"/>
    <w:rPr>
      <w:rFonts w:ascii="Times New Roman" w:hAnsi="Times New Roman" w:eastAsia="宋体" w:cs="Times New Roman"/>
      <w:kern w:val="2"/>
      <w:sz w:val="22"/>
      <w:szCs w:val="22"/>
      <w:lang w:val="en-US" w:eastAsia="zh-CN"/>
    </w:rPr>
  </w:style>
  <w:style w:type="paragraph" w:customStyle="1" w:styleId="71">
    <w:name w:val="表注"/>
    <w:qFormat/>
    <w:uiPriority w:val="99"/>
    <w:pPr>
      <w:ind w:firstLine="425"/>
      <w:jc w:val="both"/>
    </w:pPr>
    <w:rPr>
      <w:rFonts w:ascii="Times New Roman" w:hAnsi="Times New Roman" w:eastAsia="宋体" w:cs="Times New Roman"/>
      <w:kern w:val="2"/>
      <w:sz w:val="15"/>
      <w:szCs w:val="15"/>
      <w:lang w:val="en-US" w:eastAsia="zh-CN" w:bidi="ar-SA"/>
    </w:rPr>
  </w:style>
  <w:style w:type="paragraph" w:customStyle="1" w:styleId="72">
    <w:name w:val="表题"/>
    <w:qFormat/>
    <w:uiPriority w:val="99"/>
    <w:pPr>
      <w:jc w:val="center"/>
    </w:pPr>
    <w:rPr>
      <w:rFonts w:ascii="Times New Roman" w:hAnsi="Times New Roman" w:eastAsia="黑体" w:cs="Times New Roman"/>
      <w:b/>
      <w:bCs/>
      <w:kern w:val="2"/>
      <w:sz w:val="18"/>
      <w:szCs w:val="18"/>
      <w:lang w:val="en-US" w:eastAsia="zh-CN" w:bidi="ar-SA"/>
    </w:rPr>
  </w:style>
  <w:style w:type="character" w:customStyle="1" w:styleId="73">
    <w:name w:val="表注 Char"/>
    <w:basedOn w:val="21"/>
    <w:qFormat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paragraph" w:customStyle="1" w:styleId="74">
    <w:name w:val="图注"/>
    <w:qFormat/>
    <w:uiPriority w:val="99"/>
    <w:pPr>
      <w:jc w:val="center"/>
    </w:pPr>
    <w:rPr>
      <w:rFonts w:ascii="Times New Roman" w:hAnsi="Times New Roman" w:eastAsia="宋体" w:cs="Times New Roman"/>
      <w:b/>
      <w:bCs/>
      <w:kern w:val="2"/>
      <w:sz w:val="15"/>
      <w:szCs w:val="15"/>
      <w:lang w:val="en-US" w:eastAsia="zh-CN" w:bidi="ar-SA"/>
    </w:rPr>
  </w:style>
  <w:style w:type="character" w:customStyle="1" w:styleId="75">
    <w:name w:val="表题 Char"/>
    <w:basedOn w:val="21"/>
    <w:qFormat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paragraph" w:customStyle="1" w:styleId="76">
    <w:name w:val="致谢"/>
    <w:qFormat/>
    <w:uiPriority w:val="99"/>
    <w:rPr>
      <w:rFonts w:ascii="Times New Roman" w:hAnsi="Times New Roman" w:eastAsia="宋体" w:cs="Times New Roman"/>
      <w:kern w:val="2"/>
      <w:sz w:val="15"/>
      <w:szCs w:val="15"/>
      <w:lang w:val="en-US" w:eastAsia="zh-CN" w:bidi="ar-SA"/>
    </w:rPr>
  </w:style>
  <w:style w:type="character" w:customStyle="1" w:styleId="77">
    <w:name w:val="图注 Char"/>
    <w:basedOn w:val="21"/>
    <w:qFormat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character" w:customStyle="1" w:styleId="78">
    <w:name w:val="致谢 Char"/>
    <w:basedOn w:val="77"/>
    <w:qFormat/>
    <w:uiPriority w:val="99"/>
    <w:rPr>
      <w:rFonts w:ascii="Times New Roman" w:hAnsi="Times New Roman" w:eastAsia="宋体" w:cs="Times New Roman"/>
      <w:kern w:val="2"/>
      <w:sz w:val="22"/>
      <w:szCs w:val="22"/>
      <w:lang w:val="en-US" w:eastAsia="zh-CN"/>
    </w:rPr>
  </w:style>
  <w:style w:type="paragraph" w:customStyle="1" w:styleId="79">
    <w:name w:val="责任编辑"/>
    <w:qFormat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character" w:customStyle="1" w:styleId="80">
    <w:name w:val="责任编辑 Char"/>
    <w:basedOn w:val="21"/>
    <w:qFormat/>
    <w:uiPriority w:val="99"/>
    <w:rPr>
      <w:rFonts w:ascii="Calibri" w:hAnsi="Calibri" w:cs="Calibri"/>
      <w:kern w:val="2"/>
      <w:sz w:val="22"/>
      <w:szCs w:val="22"/>
      <w:lang w:val="en-US" w:eastAsia="zh-CN"/>
    </w:rPr>
  </w:style>
  <w:style w:type="paragraph" w:customStyle="1" w:styleId="81">
    <w:name w:val="文献标识码"/>
    <w:qFormat/>
    <w:uiPriority w:val="99"/>
    <w:pPr>
      <w:ind w:left="300" w:leftChars="300" w:right="300" w:rightChars="300"/>
    </w:pPr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82">
    <w:name w:val="索引"/>
    <w:qFormat/>
    <w:uiPriority w:val="99"/>
    <w:rPr>
      <w:rFonts w:ascii="Calibri" w:hAnsi="Calibri" w:eastAsia="宋体" w:cs="Calibri"/>
      <w:kern w:val="2"/>
      <w:sz w:val="17"/>
      <w:szCs w:val="17"/>
      <w:lang w:val="en-US" w:eastAsia="zh-CN" w:bidi="ar-SA"/>
    </w:rPr>
  </w:style>
  <w:style w:type="character" w:customStyle="1" w:styleId="83">
    <w:name w:val="文献标识码 Char"/>
    <w:basedOn w:val="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84">
    <w:name w:val="索引 Char"/>
    <w:basedOn w:val="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85">
    <w:name w:val="致谢标题"/>
    <w:qFormat/>
    <w:uiPriority w:val="99"/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character" w:customStyle="1" w:styleId="86">
    <w:name w:val="致谢标题 Char"/>
    <w:basedOn w:val="21"/>
    <w:qFormat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87">
    <w:name w:val="一级目录"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88">
    <w:name w:val="作者简介"/>
    <w:qFormat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customStyle="1" w:styleId="89">
    <w:name w:val="致谢正文"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90">
    <w:name w:val="一级目录 Char"/>
    <w:basedOn w:val="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91">
    <w:name w:val="三级目录"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92">
    <w:name w:val="致谢正文 Char"/>
    <w:basedOn w:val="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93">
    <w:name w:val="四级目录"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94">
    <w:name w:val="三级目录 Char"/>
    <w:basedOn w:val="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95">
    <w:name w:val="四级目录 Char"/>
    <w:basedOn w:val="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96">
    <w:name w:val="参考文献正文 Char"/>
    <w:basedOn w:val="21"/>
    <w:qFormat/>
    <w:uiPriority w:val="99"/>
    <w:rPr>
      <w:rFonts w:ascii="宋体" w:eastAsia="宋体" w:cs="宋体"/>
      <w:kern w:val="2"/>
      <w:sz w:val="22"/>
      <w:szCs w:val="22"/>
      <w:lang w:val="en-US" w:eastAsia="zh-CN"/>
    </w:rPr>
  </w:style>
  <w:style w:type="character" w:customStyle="1" w:styleId="97">
    <w:name w:val="参考文献标题 Char"/>
    <w:basedOn w:val="21"/>
    <w:qFormat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98">
    <w:name w:val="中文作者单位"/>
    <w:qFormat/>
    <w:uiPriority w:val="99"/>
    <w:pPr>
      <w:jc w:val="center"/>
    </w:pPr>
    <w:rPr>
      <w:rFonts w:ascii="Calibri" w:hAnsi="Calibri" w:eastAsia="宋体" w:cs="Calibri"/>
      <w:kern w:val="2"/>
      <w:sz w:val="15"/>
      <w:szCs w:val="15"/>
      <w:lang w:val="en-US" w:eastAsia="zh-CN" w:bidi="ar-SA"/>
    </w:rPr>
  </w:style>
  <w:style w:type="paragraph" w:customStyle="1" w:styleId="99">
    <w:name w:val="修回日期"/>
    <w:qFormat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0">
    <w:name w:val="项目基金"/>
    <w:qFormat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1">
    <w:name w:val="中文副标题"/>
    <w:qFormat/>
    <w:uiPriority w:val="99"/>
    <w:pPr>
      <w:ind w:left="300" w:leftChars="300" w:right="300" w:rightChars="300"/>
      <w:jc w:val="center"/>
      <w:outlineLvl w:val="0"/>
    </w:pPr>
    <w:rPr>
      <w:rFonts w:ascii="Calibri" w:hAnsi="Calibri" w:eastAsia="黑体" w:cs="Calibri"/>
      <w:kern w:val="2"/>
      <w:sz w:val="32"/>
      <w:szCs w:val="32"/>
      <w:lang w:val="en-US" w:eastAsia="zh-CN" w:bidi="ar-SA"/>
    </w:rPr>
  </w:style>
  <w:style w:type="paragraph" w:customStyle="1" w:styleId="102">
    <w:name w:val="英文副标题"/>
    <w:qFormat/>
    <w:uiPriority w:val="99"/>
    <w:pPr>
      <w:ind w:left="300" w:leftChars="300" w:right="300" w:rightChars="300"/>
      <w:jc w:val="center"/>
      <w:outlineLvl w:val="0"/>
    </w:pPr>
    <w:rPr>
      <w:rFonts w:ascii="Times New Roman" w:hAnsi="Times New Roman" w:eastAsia="宋体" w:cs="Times New Roman"/>
      <w:b/>
      <w:bCs/>
      <w:kern w:val="2"/>
      <w:sz w:val="24"/>
      <w:szCs w:val="24"/>
      <w:lang w:val="en-US" w:eastAsia="zh-CN" w:bidi="ar-SA"/>
    </w:rPr>
  </w:style>
  <w:style w:type="paragraph" w:customStyle="1" w:styleId="103">
    <w:name w:val="图片"/>
    <w:qFormat/>
    <w:uiPriority w:val="99"/>
    <w:pPr>
      <w:jc w:val="center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104">
    <w:name w:val="表格来源"/>
    <w:qFormat/>
    <w:uiPriority w:val="99"/>
    <w:rPr>
      <w:rFonts w:ascii="Times New Roman" w:hAnsi="Times New Roman" w:eastAsia="方正楷体_GB2312" w:cs="Times New Roman"/>
      <w:kern w:val="2"/>
      <w:sz w:val="18"/>
      <w:szCs w:val="18"/>
      <w:lang w:val="en-US" w:eastAsia="zh-CN" w:bidi="ar-SA"/>
    </w:rPr>
  </w:style>
  <w:style w:type="paragraph" w:customStyle="1" w:styleId="105">
    <w:name w:val="公式"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106">
    <w:name w:val="文档结构图 Char"/>
    <w:basedOn w:val="21"/>
    <w:link w:val="10"/>
    <w:qFormat/>
    <w:uiPriority w:val="99"/>
    <w:rPr>
      <w:rFonts w:ascii="宋体" w:eastAsia="宋体" w:cs="宋体"/>
      <w:kern w:val="2"/>
      <w:sz w:val="18"/>
      <w:szCs w:val="18"/>
    </w:rPr>
  </w:style>
  <w:style w:type="paragraph" w:customStyle="1" w:styleId="107">
    <w:name w:val="文章编号"/>
    <w:qFormat/>
    <w:uiPriority w:val="99"/>
    <w:pPr>
      <w:ind w:left="300" w:leftChars="300" w:right="300" w:rightChars="300"/>
    </w:pPr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8">
    <w:name w:val="DOI"/>
    <w:qFormat/>
    <w:uiPriority w:val="99"/>
    <w:pPr>
      <w:spacing w:after="156"/>
    </w:pPr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9">
    <w:name w:val="一级副标题"/>
    <w:qFormat/>
    <w:uiPriority w:val="99"/>
    <w:pPr>
      <w:outlineLvl w:val="1"/>
    </w:pPr>
    <w:rPr>
      <w:rFonts w:ascii="Calibri" w:hAnsi="Calibri" w:eastAsia="黑体" w:cs="Calibri"/>
      <w:kern w:val="2"/>
      <w:sz w:val="24"/>
      <w:szCs w:val="24"/>
      <w:lang w:val="en-US" w:eastAsia="zh-CN" w:bidi="ar-SA"/>
    </w:rPr>
  </w:style>
  <w:style w:type="paragraph" w:customStyle="1" w:styleId="110">
    <w:name w:val="引言"/>
    <w:qFormat/>
    <w:uiPriority w:val="99"/>
    <w:pPr>
      <w:spacing w:before="567"/>
    </w:pPr>
    <w:rPr>
      <w:rFonts w:ascii="Calibri" w:hAnsi="Calibri" w:eastAsia="方正楷体_GB2312" w:cs="Calibri"/>
      <w:kern w:val="2"/>
      <w:sz w:val="21"/>
      <w:szCs w:val="21"/>
      <w:lang w:val="en-US" w:eastAsia="zh-CN" w:bidi="ar-SA"/>
    </w:rPr>
  </w:style>
  <w:style w:type="paragraph" w:customStyle="1" w:styleId="111">
    <w:name w:val="二级前言"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112">
    <w:name w:val="表头"/>
    <w:qFormat/>
    <w:uiPriority w:val="99"/>
    <w:rPr>
      <w:rFonts w:ascii="Times New Roman" w:hAnsi="Times New Roman" w:eastAsia="黑体" w:cs="Times New Roman"/>
      <w:kern w:val="2"/>
      <w:sz w:val="15"/>
      <w:szCs w:val="15"/>
      <w:lang w:val="en-US" w:eastAsia="zh-CN" w:bidi="ar-SA"/>
    </w:rPr>
  </w:style>
  <w:style w:type="paragraph" w:customStyle="1" w:styleId="113">
    <w:name w:val="表身"/>
    <w:qFormat/>
    <w:uiPriority w:val="99"/>
    <w:pPr>
      <w:jc w:val="center"/>
    </w:pPr>
    <w:rPr>
      <w:rFonts w:ascii="Times New Roman" w:hAnsi="Times New Roman" w:eastAsia="宋体" w:cs="Times New Roman"/>
      <w:kern w:val="2"/>
      <w:sz w:val="16"/>
      <w:szCs w:val="16"/>
      <w:lang w:val="en-US" w:eastAsia="zh-CN" w:bidi="ar-SA"/>
    </w:rPr>
  </w:style>
  <w:style w:type="paragraph" w:customStyle="1" w:styleId="114">
    <w:name w:val="学科分类号"/>
    <w:qFormat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15">
    <w:name w:val="刊名"/>
    <w:qFormat/>
    <w:uiPriority w:val="99"/>
    <w:pPr>
      <w:jc w:val="center"/>
    </w:pPr>
    <w:rPr>
      <w:rFonts w:ascii="Calibri" w:hAnsi="Calibri" w:eastAsia="黑体" w:cs="Calibri"/>
      <w:kern w:val="2"/>
      <w:sz w:val="28"/>
      <w:szCs w:val="28"/>
      <w:lang w:val="en-US" w:eastAsia="zh-CN" w:bidi="ar-SA"/>
    </w:rPr>
  </w:style>
  <w:style w:type="paragraph" w:customStyle="1" w:styleId="116">
    <w:name w:val="刊号"/>
    <w:qFormat/>
    <w:uiPriority w:val="99"/>
    <w:rPr>
      <w:rFonts w:ascii="Calibri" w:hAnsi="Calibri" w:eastAsia="黑体" w:cs="Calibri"/>
      <w:kern w:val="2"/>
      <w:sz w:val="21"/>
      <w:szCs w:val="21"/>
      <w:lang w:val="en-US" w:eastAsia="zh-CN" w:bidi="ar-SA"/>
    </w:rPr>
  </w:style>
  <w:style w:type="character" w:customStyle="1" w:styleId="117">
    <w:name w:val="刊名 Char"/>
    <w:basedOn w:val="21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118">
    <w:name w:val="期号"/>
    <w:qFormat/>
    <w:uiPriority w:val="99"/>
    <w:rPr>
      <w:rFonts w:ascii="Calibri" w:hAnsi="Calibri" w:eastAsia="宋体" w:cs="Calibri"/>
      <w:kern w:val="2"/>
      <w:sz w:val="24"/>
      <w:szCs w:val="24"/>
      <w:lang w:val="en-US" w:eastAsia="zh-CN" w:bidi="ar-SA"/>
    </w:rPr>
  </w:style>
  <w:style w:type="paragraph" w:customStyle="1" w:styleId="119">
    <w:name w:val="主办单位"/>
    <w:qFormat/>
    <w:uiPriority w:val="99"/>
    <w:rPr>
      <w:rFonts w:ascii="Calibri" w:hAnsi="Calibri" w:eastAsia="黑体" w:cs="Calibri"/>
      <w:kern w:val="2"/>
      <w:sz w:val="24"/>
      <w:szCs w:val="24"/>
      <w:lang w:val="en-US" w:eastAsia="zh-CN" w:bidi="ar-SA"/>
    </w:rPr>
  </w:style>
  <w:style w:type="paragraph" w:customStyle="1" w:styleId="120">
    <w:name w:val="目录标题"/>
    <w:qFormat/>
    <w:uiPriority w:val="99"/>
    <w:rPr>
      <w:rFonts w:ascii="Calibri" w:hAnsi="Calibri" w:eastAsia="黑体" w:cs="Calibri"/>
      <w:kern w:val="2"/>
      <w:sz w:val="28"/>
      <w:szCs w:val="28"/>
      <w:lang w:val="en-US" w:eastAsia="zh-CN" w:bidi="ar-SA"/>
    </w:rPr>
  </w:style>
  <w:style w:type="character" w:customStyle="1" w:styleId="121">
    <w:name w:val="刊号 Char"/>
    <w:basedOn w:val="117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character" w:customStyle="1" w:styleId="122">
    <w:name w:val="期号 Char"/>
    <w:basedOn w:val="1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123">
    <w:name w:val="主办单位 Char"/>
    <w:basedOn w:val="122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124">
    <w:name w:val="二级目录"/>
    <w:basedOn w:val="120"/>
    <w:qFormat/>
    <w:uiPriority w:val="99"/>
    <w:pPr>
      <w:widowControl w:val="0"/>
    </w:pPr>
    <w:rPr>
      <w:rFonts w:eastAsia="宋体"/>
      <w:sz w:val="21"/>
      <w:szCs w:val="21"/>
    </w:rPr>
  </w:style>
  <w:style w:type="character" w:customStyle="1" w:styleId="125">
    <w:name w:val="目录标题 Char"/>
    <w:basedOn w:val="123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126">
    <w:name w:val="栏目标题"/>
    <w:qFormat/>
    <w:uiPriority w:val="99"/>
    <w:rPr>
      <w:rFonts w:ascii="Calibri" w:hAnsi="Calibri" w:eastAsia="黑体" w:cs="Calibri"/>
      <w:kern w:val="2"/>
      <w:sz w:val="24"/>
      <w:szCs w:val="24"/>
      <w:lang w:val="en-US" w:eastAsia="zh-CN" w:bidi="ar-SA"/>
    </w:rPr>
  </w:style>
  <w:style w:type="paragraph" w:customStyle="1" w:styleId="127">
    <w:name w:val="英文通讯作者"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28">
    <w:name w:val="通讯作者E-mail"/>
    <w:qFormat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styleId="129">
    <w:name w:val="List Paragraph"/>
    <w:basedOn w:val="1"/>
    <w:qFormat/>
    <w:uiPriority w:val="99"/>
    <w:pPr>
      <w:ind w:firstLine="420"/>
    </w:pPr>
  </w:style>
  <w:style w:type="character" w:customStyle="1" w:styleId="130">
    <w:name w:val="Subtle Reference"/>
    <w:basedOn w:val="21"/>
    <w:qFormat/>
    <w:uiPriority w:val="99"/>
    <w:rPr>
      <w:rFonts w:ascii="Times New Roman" w:hAnsi="Times New Roman" w:cs="Times New Roman"/>
      <w:smallCaps/>
      <w:color w:val="auto"/>
      <w:u w:val="single"/>
    </w:rPr>
  </w:style>
  <w:style w:type="paragraph" w:customStyle="1" w:styleId="131">
    <w:name w:val="英文项目基金"/>
    <w:basedOn w:val="1"/>
    <w:qFormat/>
    <w:uiPriority w:val="99"/>
    <w:pPr>
      <w:autoSpaceDN w:val="0"/>
      <w:spacing w:before="100" w:beforeAutospacing="1" w:after="100" w:afterAutospacing="1"/>
      <w:ind w:firstLine="420"/>
    </w:pPr>
  </w:style>
  <w:style w:type="paragraph" w:customStyle="1" w:styleId="132">
    <w:name w:val="英文收稿日期"/>
    <w:basedOn w:val="1"/>
    <w:qFormat/>
    <w:uiPriority w:val="99"/>
    <w:pPr>
      <w:ind w:firstLine="420"/>
    </w:pPr>
  </w:style>
  <w:style w:type="character" w:customStyle="1" w:styleId="133">
    <w:name w:val="英文项目基金 Char"/>
    <w:basedOn w:val="21"/>
    <w:qFormat/>
    <w:uiPriority w:val="99"/>
    <w:rPr>
      <w:rFonts w:ascii="Calibri" w:hAnsi="Calibri" w:eastAsia="宋体" w:cs="Calibri"/>
      <w:kern w:val="2"/>
      <w:sz w:val="22"/>
      <w:szCs w:val="22"/>
    </w:rPr>
  </w:style>
  <w:style w:type="character" w:customStyle="1" w:styleId="134">
    <w:name w:val="英文收稿日期 Char"/>
    <w:basedOn w:val="21"/>
    <w:qFormat/>
    <w:uiPriority w:val="99"/>
    <w:rPr>
      <w:rFonts w:ascii="Calibri" w:hAnsi="Calibri" w:eastAsia="宋体" w:cs="Calibri"/>
      <w:kern w:val="2"/>
      <w:sz w:val="22"/>
      <w:szCs w:val="22"/>
    </w:rPr>
  </w:style>
  <w:style w:type="paragraph" w:customStyle="1" w:styleId="135">
    <w:name w:val="英文图题"/>
    <w:basedOn w:val="1"/>
    <w:qFormat/>
    <w:uiPriority w:val="99"/>
    <w:rPr>
      <w:rFonts w:eastAsia="宋体"/>
      <w:sz w:val="16"/>
      <w:szCs w:val="16"/>
    </w:rPr>
  </w:style>
  <w:style w:type="paragraph" w:customStyle="1" w:styleId="136">
    <w:name w:val="英文表题"/>
    <w:basedOn w:val="135"/>
    <w:qFormat/>
    <w:uiPriority w:val="99"/>
    <w:pPr>
      <w:ind w:firstLine="200" w:firstLineChars="200"/>
    </w:pPr>
  </w:style>
  <w:style w:type="character" w:customStyle="1" w:styleId="137">
    <w:name w:val="批注框文本 Char"/>
    <w:basedOn w:val="21"/>
    <w:link w:val="13"/>
    <w:uiPriority w:val="99"/>
    <w:rPr>
      <w:rFonts w:ascii="Calibri" w:hAnsi="Calibri" w:eastAsia="宋体" w:cs="Calibri"/>
      <w:kern w:val="2"/>
      <w:sz w:val="18"/>
      <w:szCs w:val="18"/>
    </w:rPr>
  </w:style>
  <w:style w:type="paragraph" w:customStyle="1" w:styleId="138">
    <w:name w:val="样式 样式7 + 首行缩进:  2 字符 行距: 多倍行距 1.04 字行"/>
    <w:basedOn w:val="1"/>
    <w:qFormat/>
    <w:uiPriority w:val="99"/>
    <w:pPr>
      <w:spacing w:line="247" w:lineRule="auto"/>
      <w:ind w:firstLine="200" w:firstLineChars="200"/>
    </w:pPr>
    <w:rPr>
      <w:rFonts w:eastAsia="方正楷体_GB2312"/>
    </w:rPr>
  </w:style>
  <w:style w:type="paragraph" w:customStyle="1" w:styleId="139">
    <w:name w:val="样式 样式2 + 五号1"/>
    <w:basedOn w:val="1"/>
    <w:uiPriority w:val="99"/>
    <w:pPr>
      <w:spacing w:after="360" w:line="257" w:lineRule="auto"/>
      <w:ind w:left="454" w:right="454"/>
    </w:pPr>
    <w:rPr>
      <w:rFonts w:eastAsia="方正仿宋简体"/>
      <w:spacing w:val="2"/>
      <w:kern w:val="0"/>
      <w:sz w:val="18"/>
      <w:szCs w:val="18"/>
    </w:rPr>
  </w:style>
  <w:style w:type="paragraph" w:customStyle="1" w:styleId="140">
    <w:name w:val="样式 标题 1 + 段前: 20 磅 段后: 17 磅"/>
    <w:basedOn w:val="2"/>
    <w:qFormat/>
    <w:uiPriority w:val="99"/>
    <w:pPr>
      <w:spacing w:before="400" w:after="340"/>
    </w:pPr>
    <w:rPr>
      <w:b/>
      <w:bCs/>
    </w:rPr>
  </w:style>
  <w:style w:type="paragraph" w:customStyle="1" w:styleId="141">
    <w:name w:val="样式 标题 2 + 段前: 2 磅 段后: 3 磅"/>
    <w:basedOn w:val="3"/>
    <w:qFormat/>
    <w:uiPriority w:val="99"/>
    <w:pPr>
      <w:spacing w:before="40" w:after="60" w:line="240" w:lineRule="auto"/>
    </w:pPr>
    <w:rPr>
      <w:b/>
      <w:bCs/>
      <w:spacing w:val="2"/>
      <w:w w:val="88"/>
      <w:sz w:val="24"/>
      <w:szCs w:val="24"/>
    </w:rPr>
  </w:style>
  <w:style w:type="paragraph" w:customStyle="1" w:styleId="142">
    <w:name w:val="样式 样式2 + 五号"/>
    <w:basedOn w:val="1"/>
    <w:qFormat/>
    <w:uiPriority w:val="99"/>
    <w:pPr>
      <w:spacing w:after="360" w:line="257" w:lineRule="auto"/>
      <w:ind w:left="454" w:right="454"/>
    </w:pPr>
    <w:rPr>
      <w:spacing w:val="2"/>
      <w:sz w:val="18"/>
      <w:szCs w:val="18"/>
    </w:rPr>
  </w:style>
  <w:style w:type="paragraph" w:customStyle="1" w:styleId="143">
    <w:name w:val="样式 标题 5 + (符号) 宋体"/>
    <w:basedOn w:val="6"/>
    <w:qFormat/>
    <w:uiPriority w:val="99"/>
    <w:rPr>
      <w:rFonts w:eastAsia="黑体"/>
      <w:b/>
      <w:bCs/>
      <w:sz w:val="21"/>
      <w:szCs w:val="21"/>
    </w:rPr>
  </w:style>
  <w:style w:type="paragraph" w:customStyle="1" w:styleId="144">
    <w:name w:val="样式 标题 4 + 黑体"/>
    <w:basedOn w:val="5"/>
    <w:qFormat/>
    <w:uiPriority w:val="99"/>
    <w:pPr>
      <w:keepLines w:val="0"/>
      <w:spacing w:before="180" w:after="240" w:line="250" w:lineRule="auto"/>
      <w:jc w:val="left"/>
    </w:pPr>
    <w:rPr>
      <w:rFonts w:ascii="黑体" w:hAnsi="黑体" w:cs="黑体"/>
      <w:b/>
      <w:bCs/>
      <w:spacing w:val="2"/>
      <w:sz w:val="24"/>
      <w:szCs w:val="24"/>
    </w:rPr>
  </w:style>
  <w:style w:type="paragraph" w:customStyle="1" w:styleId="145">
    <w:name w:val="样式 标题 4 + (中文) 黑体 加粗"/>
    <w:basedOn w:val="5"/>
    <w:qFormat/>
    <w:uiPriority w:val="99"/>
    <w:pPr>
      <w:keepLines w:val="0"/>
      <w:spacing w:before="180" w:after="240" w:line="250" w:lineRule="auto"/>
      <w:jc w:val="left"/>
    </w:pPr>
    <w:rPr>
      <w:spacing w:val="2"/>
      <w:sz w:val="24"/>
      <w:szCs w:val="24"/>
    </w:rPr>
  </w:style>
  <w:style w:type="paragraph" w:customStyle="1" w:styleId="146">
    <w:name w:val="样式 标题 2节题节标题2（节） + 行距: 多倍行距 1.05 字行"/>
    <w:basedOn w:val="3"/>
    <w:qFormat/>
    <w:uiPriority w:val="99"/>
    <w:pPr>
      <w:spacing w:before="300" w:after="300" w:line="252" w:lineRule="auto"/>
    </w:pPr>
    <w:rPr>
      <w:rFonts w:eastAsia="华文中宋"/>
      <w:b/>
      <w:bCs/>
      <w:sz w:val="30"/>
      <w:szCs w:val="30"/>
    </w:rPr>
  </w:style>
  <w:style w:type="character" w:customStyle="1" w:styleId="147">
    <w:name w:val="样式 Garamond 小四"/>
    <w:basedOn w:val="21"/>
    <w:qFormat/>
    <w:uiPriority w:val="99"/>
    <w:rPr>
      <w:rFonts w:ascii="Times New Roman" w:hAnsi="Times New Roman" w:cs="Times New Roman"/>
      <w:sz w:val="24"/>
      <w:szCs w:val="24"/>
    </w:rPr>
  </w:style>
  <w:style w:type="character" w:customStyle="1" w:styleId="148">
    <w:name w:val="正文文本缩进 2 Char"/>
    <w:basedOn w:val="21"/>
    <w:link w:val="12"/>
    <w:qFormat/>
    <w:uiPriority w:val="99"/>
    <w:rPr>
      <w:rFonts w:ascii="Times New Roman" w:hAnsi="Times New Roman" w:eastAsia="方正书宋简体" w:cs="Times New Roman"/>
      <w:spacing w:val="4"/>
      <w:sz w:val="20"/>
      <w:szCs w:val="20"/>
    </w:rPr>
  </w:style>
  <w:style w:type="character" w:customStyle="1" w:styleId="149">
    <w:name w:val="正文文本 Char"/>
    <w:basedOn w:val="21"/>
    <w:link w:val="11"/>
    <w:qFormat/>
    <w:uiPriority w:val="99"/>
    <w:rPr>
      <w:rFonts w:ascii="Times New Roman" w:hAnsi="Times New Roman" w:eastAsia="方正书宋简体" w:cs="Times New Roman"/>
      <w:spacing w:val="4"/>
      <w:sz w:val="20"/>
      <w:szCs w:val="20"/>
    </w:rPr>
  </w:style>
  <w:style w:type="character" w:customStyle="1" w:styleId="150">
    <w:name w:val="正文首行缩进 Char"/>
    <w:basedOn w:val="149"/>
    <w:link w:val="19"/>
    <w:qFormat/>
    <w:uiPriority w:val="99"/>
    <w:rPr>
      <w:rFonts w:ascii="Times New Roman" w:hAnsi="Times New Roman" w:eastAsia="方正书宋简体" w:cs="Times New Roman"/>
      <w:spacing w:val="4"/>
      <w:sz w:val="20"/>
      <w:szCs w:val="20"/>
    </w:rPr>
  </w:style>
  <w:style w:type="paragraph" w:customStyle="1" w:styleId="151">
    <w:name w:val="作者-中"/>
    <w:basedOn w:val="1"/>
    <w:qFormat/>
    <w:uiPriority w:val="99"/>
    <w:pPr>
      <w:spacing w:before="160" w:after="80"/>
    </w:pPr>
    <w:rPr>
      <w:rFonts w:eastAsia="方正楷体_GB2312"/>
      <w:sz w:val="28"/>
      <w:szCs w:val="28"/>
    </w:rPr>
  </w:style>
  <w:style w:type="paragraph" w:customStyle="1" w:styleId="152">
    <w:name w:val="作者单位-中"/>
    <w:basedOn w:val="1"/>
    <w:qFormat/>
    <w:uiPriority w:val="99"/>
    <w:pPr>
      <w:spacing w:before="40" w:after="400"/>
      <w:ind w:left="200" w:leftChars="200" w:right="200" w:rightChars="200"/>
    </w:pPr>
  </w:style>
  <w:style w:type="paragraph" w:customStyle="1" w:styleId="153">
    <w:name w:val="作者-英"/>
    <w:basedOn w:val="1"/>
    <w:qFormat/>
    <w:uiPriority w:val="99"/>
    <w:pPr>
      <w:spacing w:after="80"/>
    </w:pPr>
    <w:rPr>
      <w:sz w:val="24"/>
      <w:szCs w:val="24"/>
    </w:rPr>
  </w:style>
  <w:style w:type="paragraph" w:customStyle="1" w:styleId="154">
    <w:name w:val="作者单位-英"/>
    <w:basedOn w:val="1"/>
    <w:qFormat/>
    <w:uiPriority w:val="99"/>
    <w:pPr>
      <w:spacing w:after="200"/>
    </w:pPr>
  </w:style>
  <w:style w:type="paragraph" w:customStyle="1" w:styleId="155">
    <w:name w:val="样式3"/>
    <w:basedOn w:val="153"/>
    <w:qFormat/>
    <w:uiPriority w:val="99"/>
    <w:rPr>
      <w:sz w:val="26"/>
      <w:szCs w:val="26"/>
    </w:rPr>
  </w:style>
  <w:style w:type="paragraph" w:customStyle="1" w:styleId="156">
    <w:name w:val="样式1"/>
    <w:basedOn w:val="1"/>
    <w:qFormat/>
    <w:uiPriority w:val="99"/>
    <w:pPr>
      <w:spacing w:after="200" w:line="240" w:lineRule="atLeast"/>
    </w:pPr>
    <w:rPr>
      <w:sz w:val="17"/>
      <w:szCs w:val="17"/>
    </w:rPr>
  </w:style>
  <w:style w:type="paragraph" w:customStyle="1" w:styleId="157">
    <w:name w:val="作者"/>
    <w:basedOn w:val="3"/>
    <w:qFormat/>
    <w:uiPriority w:val="99"/>
    <w:pPr>
      <w:spacing w:before="360" w:after="0" w:line="288" w:lineRule="auto"/>
    </w:pPr>
    <w:rPr>
      <w:rFonts w:eastAsia="方正楷体简体"/>
      <w:b/>
      <w:bCs/>
      <w:color w:val="000000"/>
    </w:rPr>
  </w:style>
  <w:style w:type="paragraph" w:customStyle="1" w:styleId="158">
    <w:name w:val="作者单位"/>
    <w:basedOn w:val="3"/>
    <w:qFormat/>
    <w:uiPriority w:val="99"/>
    <w:pPr>
      <w:spacing w:before="0" w:after="440" w:line="288" w:lineRule="auto"/>
    </w:pPr>
    <w:rPr>
      <w:rFonts w:eastAsia="方正书宋简体"/>
      <w:b/>
      <w:bCs/>
      <w:color w:val="000000"/>
      <w:sz w:val="21"/>
      <w:szCs w:val="21"/>
    </w:rPr>
  </w:style>
  <w:style w:type="character" w:customStyle="1" w:styleId="159">
    <w:name w:val="正文文本缩进 3 Char"/>
    <w:basedOn w:val="21"/>
    <w:link w:val="16"/>
    <w:qFormat/>
    <w:uiPriority w:val="99"/>
    <w:rPr>
      <w:rFonts w:ascii="Times New Roman" w:hAnsi="Times New Roman" w:eastAsia="方正书宋简体" w:cs="Times New Roman"/>
      <w:spacing w:val="4"/>
      <w:sz w:val="16"/>
      <w:szCs w:val="16"/>
    </w:rPr>
  </w:style>
  <w:style w:type="paragraph" w:customStyle="1" w:styleId="160">
    <w:name w:val="样式2"/>
    <w:basedOn w:val="1"/>
    <w:qFormat/>
    <w:uiPriority w:val="99"/>
    <w:pPr>
      <w:spacing w:line="302" w:lineRule="auto"/>
      <w:ind w:right="680"/>
    </w:pPr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http://www.fjnu.edu.cn/contents/xxgk/jrsd/images/2.gif" TargetMode="Externa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a4f9081-4866-48a3-8ae8-50a3224b59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10</Pages>
  <Words>8700</Words>
  <Characters>11892</Characters>
  <Lines>23</Lines>
  <Paragraphs>6</Paragraphs>
  <TotalTime>1</TotalTime>
  <ScaleCrop>false</ScaleCrop>
  <LinksUpToDate>false</LinksUpToDate>
  <CharactersWithSpaces>12447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2021-12-23T00:31:00Z</dcterms:created>
  <dc:creator>微软用户</dc:creator>
  <cp:lastModifiedBy>许愿</cp:lastModifiedBy>
  <dcterms:modified xsi:type="dcterms:W3CDTF">2026-07-31T13:27:25Z</dcterms:modified>
  <dc:title>中文标题(小2号黑体)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eyJoZGlkIjoiYTBmYjcwZTEwNGE2ZjUzN2UyYWZlNTlhNmRjNWUzYjUiLCJ1c2VySWQiOiI2MTM2Nzk2MDYifQ==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D1037B379D56495396AD34622AD62DE3_12</vt:lpwstr>
  </property>
</Properties>
</file>