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9C3D">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bookmarkStart w:id="0" w:name="基于rsei的福州市生态环境质量时空演变及城市化响应研究开题模拟"/>
    </w:p>
    <w:p w14:paraId="071528B8">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09EAAB08">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4B5C1401">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49675F0C">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5F1A1F1A">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35E6B1FE">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b/>
          <w:bCs w:val="0"/>
          <w:sz w:val="28"/>
          <w:szCs w:val="28"/>
          <w:lang w:eastAsia="zh-CN"/>
        </w:rPr>
      </w:pPr>
    </w:p>
    <w:p w14:paraId="531C05D1">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b/>
          <w:bCs w:val="0"/>
          <w:sz w:val="28"/>
          <w:szCs w:val="28"/>
          <w:lang w:val="en-US" w:eastAsia="zh-CN"/>
        </w:rPr>
      </w:pPr>
      <w:r>
        <w:rPr>
          <w:rFonts w:hint="eastAsia" w:ascii="宋体" w:hAnsi="宋体" w:eastAsia="宋体"/>
          <w:b/>
          <w:bCs w:val="0"/>
          <w:sz w:val="28"/>
          <w:szCs w:val="28"/>
          <w:lang w:eastAsia="zh-CN"/>
        </w:rPr>
        <w:t>《</w:t>
      </w:r>
      <w:r>
        <w:rPr>
          <w:rFonts w:hint="eastAsia" w:ascii="宋体" w:hAnsi="宋体" w:eastAsia="宋体"/>
          <w:b/>
          <w:bCs w:val="0"/>
          <w:sz w:val="28"/>
          <w:szCs w:val="28"/>
          <w:lang w:val="en-US" w:eastAsia="zh-CN"/>
        </w:rPr>
        <w:t>遥感与GIS综合》个人作业</w:t>
      </w:r>
      <w:r>
        <w:rPr>
          <w:rFonts w:hint="eastAsia"/>
          <w:b/>
          <w:bCs w:val="0"/>
          <w:sz w:val="28"/>
          <w:szCs w:val="28"/>
          <w:lang w:val="en-US" w:eastAsia="zh-CN"/>
        </w:rPr>
        <w:t>三</w:t>
      </w:r>
    </w:p>
    <w:p w14:paraId="611CD978">
      <w:pPr>
        <w:pageBreakBefore w:val="0"/>
        <w:widowControl/>
        <w:kinsoku/>
        <w:wordWrap/>
        <w:overflowPunct/>
        <w:topLinePunct w:val="0"/>
        <w:autoSpaceDE/>
        <w:autoSpaceDN/>
        <w:bidi w:val="0"/>
        <w:adjustRightInd/>
        <w:spacing w:before="0" w:after="120" w:line="360" w:lineRule="auto"/>
        <w:ind w:left="0" w:leftChars="0" w:firstLine="0" w:firstLineChars="0"/>
        <w:jc w:val="center"/>
        <w:textAlignment w:val="auto"/>
        <w:rPr>
          <w:rFonts w:hint="eastAsia" w:ascii="宋体" w:hAnsi="宋体" w:eastAsia="宋体" w:cs="Times New Roman"/>
          <w:b/>
          <w:bCs w:val="0"/>
          <w:color w:val="auto"/>
          <w:spacing w:val="0"/>
          <w:kern w:val="2"/>
          <w:sz w:val="28"/>
          <w:szCs w:val="28"/>
          <w:lang w:val="en-US" w:eastAsia="zh-CN" w:bidi="ar-SA"/>
        </w:rPr>
      </w:pPr>
      <w:r>
        <w:rPr>
          <w:rFonts w:hint="eastAsia" w:ascii="宋体" w:hAnsi="宋体" w:eastAsia="宋体" w:cs="Times New Roman"/>
          <w:b/>
          <w:bCs w:val="0"/>
          <w:color w:val="auto"/>
          <w:spacing w:val="0"/>
          <w:kern w:val="2"/>
          <w:sz w:val="28"/>
          <w:szCs w:val="28"/>
          <w:lang w:val="en-US" w:eastAsia="zh-CN" w:bidi="ar-SA"/>
        </w:rPr>
        <w:t>基于RSEI进行毕业论文选题和开题模拟</w:t>
      </w:r>
    </w:p>
    <w:p w14:paraId="6D3E3AB8">
      <w:pPr>
        <w:pStyle w:val="84"/>
        <w:bidi w:val="0"/>
        <w:rPr>
          <w:rFonts w:hint="eastAsia"/>
          <w:lang w:val="en-US" w:eastAsia="zh-CN"/>
        </w:rPr>
      </w:pPr>
      <w:r>
        <w:rPr>
          <w:rFonts w:hint="eastAsia"/>
          <w:lang w:val="en-US" w:eastAsia="zh-CN"/>
        </w:rPr>
        <w:t>基于RSEI的福州市生态环境质量</w:t>
      </w:r>
    </w:p>
    <w:p w14:paraId="248C4375">
      <w:pPr>
        <w:pStyle w:val="84"/>
        <w:bidi w:val="0"/>
        <w:rPr>
          <w:rFonts w:hint="default"/>
          <w:lang w:val="en-US" w:eastAsia="zh-CN"/>
        </w:rPr>
      </w:pPr>
      <w:r>
        <w:rPr>
          <w:rFonts w:hint="eastAsia"/>
          <w:lang w:val="en-US" w:eastAsia="zh-CN"/>
        </w:rPr>
        <w:t>时空演变及城市化响应研究</w:t>
      </w:r>
    </w:p>
    <w:p w14:paraId="5410D7BC">
      <w:pPr>
        <w:pStyle w:val="4"/>
        <w:numPr>
          <w:ilvl w:val="1"/>
          <w:numId w:val="0"/>
        </w:numPr>
        <w:bidi w:val="0"/>
        <w:ind w:leftChars="0"/>
        <w:rPr>
          <w:rFonts w:hint="eastAsia"/>
          <w:lang w:val="en-US" w:eastAsia="zh-CN"/>
        </w:rPr>
        <w:sectPr>
          <w:pgSz w:w="11906" w:h="16838"/>
          <w:pgMar w:top="1440" w:right="1800" w:bottom="1440" w:left="1800" w:header="720" w:footer="720" w:gutter="0"/>
          <w:pgNumType w:fmt="decimal"/>
          <w:cols w:space="720" w:num="1"/>
        </w:sectPr>
      </w:pPr>
      <w:bookmarkStart w:id="40" w:name="_GoBack"/>
      <w:bookmarkEnd w:id="40"/>
      <w:bookmarkStart w:id="1" w:name="一论文题目"/>
    </w:p>
    <w:p w14:paraId="471CD826">
      <w:pPr>
        <w:pStyle w:val="4"/>
        <w:numPr>
          <w:ilvl w:val="1"/>
          <w:numId w:val="0"/>
        </w:numPr>
        <w:bidi w:val="0"/>
        <w:ind w:leftChars="0"/>
      </w:pPr>
      <w:r>
        <w:rPr>
          <w:rFonts w:hint="eastAsia"/>
          <w:lang w:val="en-US" w:eastAsia="zh-CN"/>
        </w:rPr>
        <w:t>摘要</w:t>
      </w:r>
    </w:p>
    <w:p w14:paraId="5F871D7E">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本文以福州市为研究区，以Landsat系列遥感影像、土地利用数据、夜间灯光数据、DEM数据和行政区划数据为主要数据源，采用遥感生态指数（RSEI）、GIS空间叠加分析、土地利用转移分析和相关性分析等技术手段，开展福州市生态环境质量时空演变及城市化响应研究。研究拟选取2000年、2010年、2020年和2024年等典型年份，基于绿度、湿度、干度和热度4个生态指标构建RSEI模型，分析福州市生态环境质量的空间格局、时间变化和等级转移特征；同时结合夜间灯光强度、建设用地扩张和道路密度等指标，探讨城市化过程对生态环境质量空间分异的影响。</w:t>
      </w:r>
    </w:p>
    <w:p w14:paraId="27FF48CF">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预期成果表明：（1）福州市生态环境质量整体可能呈现“山区较高、中心城区及沿海开发区较低”的空间格局，生态质量较优区域主要分布于西部、北部山地和森林覆盖较高区域；（2）2000年以来，福州市生态环境质量在总体上可能保持较好水平，但中心城区、滨海新城、交通廊道和建设用地扩张区存在局部生态质量下降现象；（3）夜间灯光强度、建设用地比例和道路密度与RSEI可能呈负相关关系，说明高强度人类活动对城市生态环境质量具有一定扰动作用，但生态保护和城市绿地建设也可能使部分区域生态质量得到改善。</w:t>
      </w:r>
    </w:p>
    <w:p w14:paraId="50910CCE">
      <w:pPr>
        <w:pStyle w:val="4"/>
        <w:numPr>
          <w:ilvl w:val="0"/>
          <w:numId w:val="2"/>
        </w:numPr>
        <w:bidi w:val="0"/>
        <w:ind w:left="0" w:leftChars="0" w:firstLine="0" w:firstLineChars="0"/>
      </w:pPr>
      <w:r>
        <w:rPr>
          <w:rFonts w:hint="eastAsia"/>
          <w:lang w:val="en-US" w:eastAsia="zh-CN"/>
        </w:rPr>
        <w:t>选题背景与研究意义</w:t>
      </w:r>
    </w:p>
    <w:bookmarkEnd w:id="1"/>
    <w:p w14:paraId="180506DC">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bookmarkStart w:id="2" w:name="三选题背景与研究意义"/>
      <w:r>
        <w:rPr>
          <w:rFonts w:hint="eastAsia" w:ascii="Times New Roman" w:hAnsi="Times New Roman" w:eastAsia="宋体" w:cs="宋体"/>
          <w:b w:val="0"/>
          <w:bCs/>
          <w:sz w:val="24"/>
          <w:szCs w:val="24"/>
        </w:rPr>
        <w:t>遥感生态指数（Remote Sensing Ecological Index, RSEI）由绿度、湿度、干度和热度4类遥感指标综合构成，能够较为客观地反映区域生态环境质量。与单一植被指数相比，RSEI同时考虑植被、水湿条件、裸土或建设用地干扰以及地表热环境，适合用于城市化快速地区的生态环境监测。</w:t>
      </w:r>
    </w:p>
    <w:p w14:paraId="6C1EE2ED">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福州市位于福建省东部沿海，是福建省省会城市，也是海峡西岸城市群的重要中心城市。近年来，福州市中心城区扩展、滨海新区建设、交通基础设施完善和人口集聚明显，城市空间扩张与生态保护之间的协调关系值得关注。同时，福州又具有山水格局突出、森林覆盖率较高、闽江穿城而过等自然地理特征，适合开展城市生态环境质量空间差异研究。</w:t>
      </w:r>
    </w:p>
    <w:p w14:paraId="1EABBDF7">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从人文社科应用角度看，城市生态环境质量不仅是自然生态问题，也与城市规划、人口分布、产业发展、交通建设和居民生活环境密切相关。因此，以福州市为例，将RSEI与夜间灯光、建设用地、道路密度等人类活动指标结合，可以为城市生态空间保护、国土空间规划和宜居城市建设提供参考。</w:t>
      </w:r>
    </w:p>
    <w:p w14:paraId="0ED53DC4">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jc w:val="both"/>
        <w:textAlignment w:val="auto"/>
        <w:rPr>
          <w:rFonts w:hint="eastAsia" w:ascii="Times New Roman" w:hAnsi="Times New Roman" w:eastAsia="宋体" w:cs="宋体"/>
          <w:b w:val="0"/>
          <w:bCs/>
          <w:sz w:val="24"/>
          <w:szCs w:val="24"/>
        </w:rPr>
      </w:pPr>
    </w:p>
    <w:bookmarkEnd w:id="2"/>
    <w:p w14:paraId="09375EE8">
      <w:pPr>
        <w:pStyle w:val="4"/>
        <w:numPr>
          <w:ilvl w:val="0"/>
          <w:numId w:val="2"/>
        </w:numPr>
        <w:bidi w:val="0"/>
        <w:ind w:left="0" w:leftChars="0" w:firstLine="0" w:firstLineChars="0"/>
      </w:pPr>
      <w:bookmarkStart w:id="3" w:name="四文献调研与选题启示"/>
      <w:r>
        <w:rPr>
          <w:rFonts w:hint="eastAsia"/>
        </w:rPr>
        <w:t>文献调研与选题启示</w:t>
      </w:r>
    </w:p>
    <w:p w14:paraId="565A9AF1">
      <w:pPr>
        <w:pStyle w:val="4"/>
        <w:bidi w:val="0"/>
        <w:ind w:left="0" w:leftChars="0" w:firstLine="0" w:firstLineChars="0"/>
        <w:rPr>
          <w:rFonts w:hint="eastAsia"/>
        </w:rPr>
      </w:pPr>
      <w:bookmarkStart w:id="4" w:name="rsei在生态环境质量评价中的应用"/>
      <w:r>
        <w:rPr>
          <w:rFonts w:hint="eastAsia"/>
        </w:rPr>
        <w:t>RSEI在生态环境质量评价中的应用</w:t>
      </w:r>
    </w:p>
    <w:p w14:paraId="422066CB">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RSEI是近年来生态环境质量遥感评价中应用较多的综合指数。陈晓辉、胡喜生</w:t>
      </w:r>
      <w:r>
        <w:rPr>
          <w:rFonts w:hint="eastAsia" w:ascii="Times New Roman" w:hAnsi="Times New Roman" w:eastAsia="宋体" w:cs="宋体"/>
          <w:b w:val="0"/>
          <w:bCs/>
          <w:sz w:val="24"/>
          <w:szCs w:val="24"/>
          <w:lang w:val="en-US" w:eastAsia="zh-CN"/>
        </w:rPr>
        <w:t>等</w:t>
      </w:r>
      <w:r>
        <w:rPr>
          <w:rFonts w:hint="eastAsia" w:ascii="Times New Roman" w:hAnsi="Times New Roman" w:eastAsia="宋体" w:cs="宋体"/>
          <w:b w:val="0"/>
          <w:bCs/>
          <w:sz w:val="24"/>
          <w:szCs w:val="24"/>
        </w:rPr>
        <w:t>（2024）</w:t>
      </w:r>
      <w:r>
        <w:rPr>
          <w:rFonts w:hint="eastAsia" w:ascii="Times New Roman" w:hAnsi="Times New Roman" w:eastAsia="宋体" w:cs="宋体"/>
          <w:b w:val="0"/>
          <w:bCs/>
          <w:sz w:val="24"/>
          <w:szCs w:val="24"/>
          <w:lang w:val="en-US" w:eastAsia="zh-CN"/>
        </w:rPr>
        <w:t>曾</w:t>
      </w:r>
      <w:r>
        <w:rPr>
          <w:rFonts w:hint="eastAsia" w:ascii="Times New Roman" w:hAnsi="Times New Roman" w:eastAsia="宋体" w:cs="宋体"/>
          <w:b w:val="0"/>
          <w:bCs/>
          <w:sz w:val="24"/>
          <w:szCs w:val="24"/>
        </w:rPr>
        <w:t>以福州市为研究区，基于Landsat遥感影像、道路网络、夜间灯光、DEM、气象和土地利用等多源数据，构建2000年、2009年和2020年RSEI，并进一步分析道路核密度、夜间灯光、城乡用地比例等因素对生态环境质量的影响。该研究表明，福州市生态质量较好的区域主要分布在永泰县、闽清县等山区，生态质量较差区域主要分布在中心城区、区县中心、东部沿海区域和沿江两侧。这一结论为本文选取福州市作为研究区提供了直接参考。</w:t>
      </w:r>
    </w:p>
    <w:p w14:paraId="4995B9BA">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余慧婕等（2024）利用GEE平台构建淮河流域RSEI，并结合趋势分析、变异系数、Hurst指数和地理探测器</w:t>
      </w:r>
      <w:r>
        <w:rPr>
          <w:rFonts w:hint="eastAsia" w:ascii="Times New Roman" w:hAnsi="Times New Roman" w:eastAsia="宋体" w:cs="宋体"/>
          <w:b w:val="0"/>
          <w:bCs/>
          <w:sz w:val="24"/>
          <w:szCs w:val="24"/>
          <w:lang w:val="en-US" w:eastAsia="zh-CN"/>
        </w:rPr>
        <w:t>来</w:t>
      </w:r>
      <w:r>
        <w:rPr>
          <w:rFonts w:hint="eastAsia" w:ascii="Times New Roman" w:hAnsi="Times New Roman" w:eastAsia="宋体" w:cs="宋体"/>
          <w:b w:val="0"/>
          <w:bCs/>
          <w:sz w:val="24"/>
          <w:szCs w:val="24"/>
        </w:rPr>
        <w:t>分析生态环境质量时空演化及驱动因素。该文说明</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rPr>
        <w:t>GEE适合开展长时间序列、大区域遥感生态评价，地理探测器可用于分析自然和人为因素对RSEI空间分异的解释力。对本文而言，可借鉴其“遥感指数构建-时空变化分析-驱动因素解释”的技术框架。</w:t>
      </w:r>
    </w:p>
    <w:p w14:paraId="5C892116">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陈芳淼等（2023）从自然因素、政策措施和社会经济因素3个方面</w:t>
      </w:r>
      <w:r>
        <w:rPr>
          <w:rFonts w:hint="eastAsia" w:ascii="Times New Roman" w:hAnsi="Times New Roman" w:eastAsia="宋体" w:cs="宋体"/>
          <w:b w:val="0"/>
          <w:bCs/>
          <w:sz w:val="24"/>
          <w:szCs w:val="24"/>
          <w:lang w:val="en-US" w:eastAsia="zh-CN"/>
        </w:rPr>
        <w:t>具体</w:t>
      </w:r>
      <w:r>
        <w:rPr>
          <w:rFonts w:hint="eastAsia" w:ascii="Times New Roman" w:hAnsi="Times New Roman" w:eastAsia="宋体" w:cs="宋体"/>
          <w:b w:val="0"/>
          <w:bCs/>
          <w:sz w:val="24"/>
          <w:szCs w:val="24"/>
        </w:rPr>
        <w:t>分析</w:t>
      </w:r>
      <w:r>
        <w:rPr>
          <w:rFonts w:hint="eastAsia" w:ascii="Times New Roman" w:hAnsi="Times New Roman" w:eastAsia="宋体" w:cs="宋体"/>
          <w:b w:val="0"/>
          <w:bCs/>
          <w:sz w:val="24"/>
          <w:szCs w:val="24"/>
          <w:lang w:val="en-US" w:eastAsia="zh-CN"/>
        </w:rPr>
        <w:t>了</w:t>
      </w:r>
      <w:r>
        <w:rPr>
          <w:rFonts w:hint="eastAsia" w:ascii="Times New Roman" w:hAnsi="Times New Roman" w:eastAsia="宋体" w:cs="宋体"/>
          <w:b w:val="0"/>
          <w:bCs/>
          <w:sz w:val="24"/>
          <w:szCs w:val="24"/>
        </w:rPr>
        <w:t>黄河流域</w:t>
      </w:r>
      <w:r>
        <w:rPr>
          <w:rFonts w:hint="eastAsia" w:ascii="Times New Roman" w:hAnsi="Times New Roman" w:eastAsia="宋体" w:cs="宋体"/>
          <w:b w:val="0"/>
          <w:bCs/>
          <w:sz w:val="24"/>
          <w:szCs w:val="24"/>
          <w:lang w:val="en-US" w:eastAsia="zh-CN"/>
        </w:rPr>
        <w:t>的</w:t>
      </w:r>
      <w:r>
        <w:rPr>
          <w:rFonts w:hint="eastAsia" w:ascii="Times New Roman" w:hAnsi="Times New Roman" w:eastAsia="宋体" w:cs="宋体"/>
          <w:b w:val="0"/>
          <w:bCs/>
          <w:sz w:val="24"/>
          <w:szCs w:val="24"/>
        </w:rPr>
        <w:t>RSEI变化</w:t>
      </w:r>
      <w:r>
        <w:rPr>
          <w:rFonts w:hint="eastAsia" w:ascii="Times New Roman" w:hAnsi="Times New Roman" w:eastAsia="宋体" w:cs="宋体"/>
          <w:b w:val="0"/>
          <w:bCs/>
          <w:sz w:val="24"/>
          <w:szCs w:val="24"/>
          <w:lang w:val="en-US" w:eastAsia="zh-CN"/>
        </w:rPr>
        <w:t>的</w:t>
      </w:r>
      <w:r>
        <w:rPr>
          <w:rFonts w:hint="eastAsia" w:ascii="Times New Roman" w:hAnsi="Times New Roman" w:eastAsia="宋体" w:cs="宋体"/>
          <w:b w:val="0"/>
          <w:bCs/>
          <w:sz w:val="24"/>
          <w:szCs w:val="24"/>
        </w:rPr>
        <w:t>原因，</w:t>
      </w:r>
      <w:r>
        <w:rPr>
          <w:rFonts w:hint="eastAsia" w:ascii="Times New Roman" w:hAnsi="Times New Roman" w:eastAsia="宋体" w:cs="宋体"/>
          <w:b w:val="0"/>
          <w:bCs/>
          <w:sz w:val="24"/>
          <w:szCs w:val="24"/>
          <w:lang w:val="en-US" w:eastAsia="zh-CN"/>
        </w:rPr>
        <w:t>并</w:t>
      </w:r>
      <w:r>
        <w:rPr>
          <w:rFonts w:hint="eastAsia" w:ascii="Times New Roman" w:hAnsi="Times New Roman" w:eastAsia="宋体" w:cs="宋体"/>
          <w:b w:val="0"/>
          <w:bCs/>
          <w:sz w:val="24"/>
          <w:szCs w:val="24"/>
        </w:rPr>
        <w:t>指出人口增长和夜间灯光增强会对生态环境变化产生区域性扰动。该研究为本文引入夜间灯光、建设用地比例和道路密度等人类活动指标提供了依据，也提醒本文在解释生态质量变化时应综合考虑城市发展、生态保护政策和自然条件。</w:t>
      </w:r>
    </w:p>
    <w:bookmarkEnd w:id="4"/>
    <w:p w14:paraId="53BEDC66">
      <w:pPr>
        <w:pStyle w:val="4"/>
        <w:bidi w:val="0"/>
        <w:rPr>
          <w:rFonts w:hint="eastAsia"/>
        </w:rPr>
      </w:pPr>
      <w:bookmarkStart w:id="5" w:name="学位论文对论文结构和方法设计的启示"/>
      <w:r>
        <w:rPr>
          <w:rFonts w:hint="eastAsia"/>
        </w:rPr>
        <w:t>学位论文对论文结构和方法设计的启示</w:t>
      </w:r>
    </w:p>
    <w:p w14:paraId="330221CC">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张冬珠（2023）以福建沿海水陆交接带为研究对象，构建生态脆弱性评价体系，并结合土地利用、人口、GDP、夜间灯光和生态安全格局进行分析。虽然该论文</w:t>
      </w:r>
      <w:r>
        <w:rPr>
          <w:rFonts w:hint="eastAsia" w:ascii="Times New Roman" w:hAnsi="Times New Roman" w:eastAsia="宋体" w:cs="宋体"/>
          <w:b w:val="0"/>
          <w:bCs/>
          <w:sz w:val="24"/>
          <w:szCs w:val="24"/>
          <w:lang w:val="en-US" w:eastAsia="zh-CN"/>
        </w:rPr>
        <w:t>没有</w:t>
      </w:r>
      <w:r>
        <w:rPr>
          <w:rFonts w:hint="eastAsia" w:ascii="Times New Roman" w:hAnsi="Times New Roman" w:eastAsia="宋体" w:cs="宋体"/>
          <w:b w:val="0"/>
          <w:bCs/>
          <w:sz w:val="24"/>
          <w:szCs w:val="24"/>
        </w:rPr>
        <w:t>直接采用RSEI作为核心模型，但</w:t>
      </w:r>
      <w:r>
        <w:rPr>
          <w:rFonts w:hint="eastAsia" w:ascii="Times New Roman" w:hAnsi="Times New Roman" w:eastAsia="宋体" w:cs="宋体"/>
          <w:b w:val="0"/>
          <w:bCs/>
          <w:sz w:val="24"/>
          <w:szCs w:val="24"/>
          <w:lang w:val="en-US" w:eastAsia="zh-CN"/>
        </w:rPr>
        <w:t>由于</w:t>
      </w:r>
      <w:r>
        <w:rPr>
          <w:rFonts w:hint="eastAsia" w:ascii="Times New Roman" w:hAnsi="Times New Roman" w:eastAsia="宋体" w:cs="宋体"/>
          <w:b w:val="0"/>
          <w:bCs/>
          <w:sz w:val="24"/>
          <w:szCs w:val="24"/>
        </w:rPr>
        <w:t>其研究</w:t>
      </w:r>
      <w:r>
        <w:rPr>
          <w:rFonts w:hint="eastAsia" w:ascii="Times New Roman" w:hAnsi="Times New Roman" w:eastAsia="宋体" w:cs="宋体"/>
          <w:b w:val="0"/>
          <w:bCs/>
          <w:sz w:val="24"/>
          <w:szCs w:val="24"/>
          <w:lang w:val="en-US" w:eastAsia="zh-CN"/>
        </w:rPr>
        <w:t>区域同样</w:t>
      </w:r>
      <w:r>
        <w:rPr>
          <w:rFonts w:hint="eastAsia" w:ascii="Times New Roman" w:hAnsi="Times New Roman" w:eastAsia="宋体" w:cs="宋体"/>
          <w:b w:val="0"/>
          <w:bCs/>
          <w:sz w:val="24"/>
          <w:szCs w:val="24"/>
        </w:rPr>
        <w:t>位于福建沿海</w:t>
      </w:r>
      <w:r>
        <w:rPr>
          <w:rFonts w:hint="eastAsia" w:ascii="Times New Roman" w:hAnsi="Times New Roman" w:eastAsia="宋体" w:cs="宋体"/>
          <w:b w:val="0"/>
          <w:bCs/>
          <w:sz w:val="24"/>
          <w:szCs w:val="24"/>
          <w:lang w:val="en-US" w:eastAsia="zh-CN"/>
        </w:rPr>
        <w:t>地区</w:t>
      </w:r>
      <w:r>
        <w:rPr>
          <w:rFonts w:hint="eastAsia" w:ascii="Times New Roman" w:hAnsi="Times New Roman" w:eastAsia="宋体" w:cs="宋体"/>
          <w:b w:val="0"/>
          <w:bCs/>
          <w:sz w:val="24"/>
          <w:szCs w:val="24"/>
        </w:rPr>
        <w:t>且重视社会经济指标与生态安全诊断，</w:t>
      </w:r>
      <w:r>
        <w:rPr>
          <w:rFonts w:hint="eastAsia" w:ascii="Times New Roman" w:hAnsi="Times New Roman" w:eastAsia="宋体" w:cs="宋体"/>
          <w:b w:val="0"/>
          <w:bCs/>
          <w:sz w:val="24"/>
          <w:szCs w:val="24"/>
          <w:lang w:val="en-US" w:eastAsia="zh-CN"/>
        </w:rPr>
        <w:t>这</w:t>
      </w:r>
      <w:r>
        <w:rPr>
          <w:rFonts w:hint="eastAsia" w:ascii="Times New Roman" w:hAnsi="Times New Roman" w:eastAsia="宋体" w:cs="宋体"/>
          <w:b w:val="0"/>
          <w:bCs/>
          <w:sz w:val="24"/>
          <w:szCs w:val="24"/>
        </w:rPr>
        <w:t>对本文理解福州沿海开发、人类活动压力和生态安全问题</w:t>
      </w:r>
      <w:r>
        <w:rPr>
          <w:rFonts w:hint="eastAsia" w:ascii="Times New Roman" w:hAnsi="Times New Roman" w:eastAsia="宋体" w:cs="宋体"/>
          <w:b w:val="0"/>
          <w:bCs/>
          <w:sz w:val="24"/>
          <w:szCs w:val="24"/>
          <w:lang w:val="en-US" w:eastAsia="zh-CN"/>
        </w:rPr>
        <w:t>也具有一定的</w:t>
      </w:r>
      <w:r>
        <w:rPr>
          <w:rFonts w:hint="eastAsia" w:ascii="Times New Roman" w:hAnsi="Times New Roman" w:eastAsia="宋体" w:cs="宋体"/>
          <w:b w:val="0"/>
          <w:bCs/>
          <w:sz w:val="24"/>
          <w:szCs w:val="24"/>
        </w:rPr>
        <w:t>参考价值。</w:t>
      </w:r>
    </w:p>
    <w:p w14:paraId="05BEA83D">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叶席（2023）基于Landsat影像构建综合型遥感生态指数（CRSEI），并采用空间自相关、冷热点分析、变化强度、重心迁移和地理探测器等方法分析渝东南地区生态环境质量变化。该论文结构完整，包含研究背景、数据预处理、指数构建、时空变化、驱动力分析和结论展望，适合作为本科毕业论文开题和后续正文组织的参考模板。</w:t>
      </w:r>
    </w:p>
    <w:p w14:paraId="1EC2138C">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综合以上文献，本文拟采用较为稳妥的技术路线：以传统RSEI为核心评价指标，以GEE和GIS为主要处理平台，选择夜间灯光、建设用地比例和道路密度作为人类活动变量，重点分析福州市生态环境质量的时空变化和城市化影响。与复杂的GWR或地理探测器模型相比，本文优先采用相关性分析、分区统计和空间叠加分析，确保研究具有较强可完成性。</w:t>
      </w:r>
    </w:p>
    <w:p w14:paraId="5966CD0F">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jc w:val="both"/>
        <w:textAlignment w:val="auto"/>
        <w:rPr>
          <w:rFonts w:hint="eastAsia" w:ascii="Times New Roman" w:hAnsi="Times New Roman" w:eastAsia="宋体" w:cs="宋体"/>
          <w:b w:val="0"/>
          <w:bCs/>
          <w:sz w:val="24"/>
          <w:szCs w:val="24"/>
        </w:rPr>
      </w:pPr>
    </w:p>
    <w:bookmarkEnd w:id="3"/>
    <w:bookmarkEnd w:id="5"/>
    <w:p w14:paraId="523C9623">
      <w:pPr>
        <w:pStyle w:val="4"/>
        <w:numPr>
          <w:ilvl w:val="0"/>
          <w:numId w:val="2"/>
        </w:numPr>
        <w:bidi w:val="0"/>
        <w:ind w:left="0" w:leftChars="0" w:firstLine="0" w:firstLineChars="0"/>
      </w:pPr>
      <w:bookmarkStart w:id="6" w:name="五研究区与数据源"/>
      <w:r>
        <w:rPr>
          <w:rFonts w:hint="eastAsia"/>
        </w:rPr>
        <w:t>研究区与数据源</w:t>
      </w:r>
    </w:p>
    <w:p w14:paraId="508B4223">
      <w:pPr>
        <w:pStyle w:val="4"/>
        <w:bidi w:val="0"/>
        <w:rPr>
          <w:rFonts w:hint="eastAsia"/>
        </w:rPr>
      </w:pPr>
      <w:bookmarkStart w:id="7" w:name="研究区"/>
      <w:r>
        <w:rPr>
          <w:rFonts w:hint="eastAsia"/>
        </w:rPr>
        <w:t>研究区</w:t>
      </w:r>
    </w:p>
    <w:p w14:paraId="4D0C9258">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福州市位于福建省东部、闽江下游及沿海地区，东临东海，西接三明、南平，南连莆田，北邻宁德。研究区拟采用同一来源</w:t>
      </w:r>
      <w:r>
        <w:rPr>
          <w:rFonts w:hint="eastAsia" w:ascii="Times New Roman" w:hAnsi="Times New Roman" w:eastAsia="宋体" w:cs="宋体"/>
          <w:b w:val="0"/>
          <w:bCs/>
          <w:sz w:val="24"/>
          <w:szCs w:val="24"/>
          <w:lang w:val="en-US" w:eastAsia="zh-CN"/>
        </w:rPr>
        <w:t>及</w:t>
      </w:r>
      <w:r>
        <w:rPr>
          <w:rFonts w:hint="eastAsia" w:ascii="Times New Roman" w:hAnsi="Times New Roman" w:eastAsia="宋体" w:cs="宋体"/>
          <w:b w:val="0"/>
          <w:bCs/>
          <w:sz w:val="24"/>
          <w:szCs w:val="24"/>
        </w:rPr>
        <w:t>口径的福州市行政边界，包括鼓楼区、台江区、仓山区、晋安区、马尾区、长乐区、福清市、闽侯县、连江县、罗源县、闽清县、永泰县等区县</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lang w:val="en-US" w:eastAsia="zh-CN"/>
        </w:rPr>
        <w:t>由于平潭综合实验区属于“福建省辖行政管理区”，一定程度上不属于福州市，故</w:t>
      </w:r>
      <w:r>
        <w:rPr>
          <w:rFonts w:hint="eastAsia" w:ascii="Times New Roman" w:hAnsi="Times New Roman" w:eastAsia="宋体" w:cs="宋体"/>
          <w:b w:val="0"/>
          <w:bCs/>
          <w:sz w:val="24"/>
          <w:szCs w:val="24"/>
        </w:rPr>
        <w:t>涉及平潭综合实验区的数据需在研究</w:t>
      </w:r>
      <w:r>
        <w:rPr>
          <w:rFonts w:hint="eastAsia" w:ascii="Times New Roman" w:hAnsi="Times New Roman" w:eastAsia="宋体" w:cs="宋体"/>
          <w:b w:val="0"/>
          <w:bCs/>
          <w:sz w:val="24"/>
          <w:szCs w:val="24"/>
          <w:lang w:val="en-US" w:eastAsia="zh-CN"/>
        </w:rPr>
        <w:t>期间内</w:t>
      </w:r>
      <w:r>
        <w:rPr>
          <w:rFonts w:hint="eastAsia" w:ascii="Times New Roman" w:hAnsi="Times New Roman" w:eastAsia="宋体" w:cs="宋体"/>
          <w:b w:val="0"/>
          <w:bCs/>
          <w:sz w:val="24"/>
          <w:szCs w:val="24"/>
        </w:rPr>
        <w:t>保持统一纳入或统一剔除，避免行政边界口径变化影响时序比较。</w:t>
      </w:r>
    </w:p>
    <w:p w14:paraId="248BD3D2">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福州市地形以山地、丘陵、河谷平原和沿海平原相结合，生态空间与建设空间交错明显。西部和北部多山地森林，中心城区和东南沿海地区人类活动强度较高，为分析RSEI与城市化影响提供了较好的空间差异基础。</w:t>
      </w:r>
    </w:p>
    <w:p w14:paraId="34BAAF03">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p>
    <w:p w14:paraId="616A5923">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p>
    <w:p w14:paraId="2F02CA8B">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p>
    <w:p w14:paraId="1EC980F8">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jc w:val="both"/>
        <w:textAlignment w:val="auto"/>
        <w:rPr>
          <w:rFonts w:hint="eastAsia" w:ascii="Times New Roman" w:hAnsi="Times New Roman" w:eastAsia="宋体" w:cs="宋体"/>
          <w:b w:val="0"/>
          <w:bCs/>
          <w:sz w:val="24"/>
          <w:szCs w:val="24"/>
        </w:rPr>
      </w:pPr>
    </w:p>
    <w:bookmarkEnd w:id="7"/>
    <w:p w14:paraId="2E6F9DB5">
      <w:pPr>
        <w:pStyle w:val="4"/>
        <w:bidi w:val="0"/>
        <w:rPr>
          <w:rFonts w:hint="eastAsia"/>
        </w:rPr>
      </w:pPr>
      <w:bookmarkStart w:id="8" w:name="数据源"/>
      <w:r>
        <w:rPr>
          <w:rFonts w:hint="eastAsia"/>
        </w:rPr>
        <w:t>数据源</w:t>
      </w:r>
    </w:p>
    <w:tbl>
      <w:tblPr>
        <w:tblStyle w:val="116"/>
        <w:tblW w:w="9161" w:type="dxa"/>
        <w:jc w:val="center"/>
        <w:tblLayout w:type="autofit"/>
        <w:tblCellMar>
          <w:top w:w="0" w:type="dxa"/>
          <w:left w:w="108" w:type="dxa"/>
          <w:bottom w:w="0" w:type="dxa"/>
          <w:right w:w="108" w:type="dxa"/>
        </w:tblCellMar>
      </w:tblPr>
      <w:tblGrid>
        <w:gridCol w:w="1302"/>
        <w:gridCol w:w="2810"/>
        <w:gridCol w:w="1500"/>
        <w:gridCol w:w="1540"/>
        <w:gridCol w:w="2009"/>
      </w:tblGrid>
      <w:tr w14:paraId="4B78B4AC">
        <w:trPr>
          <w:trHeight w:val="0" w:hRule="atLeast"/>
          <w:tblHeader/>
          <w:jc w:val="center"/>
        </w:trPr>
        <w:tc>
          <w:tcPr>
            <w:tcW w:w="1302" w:type="dxa"/>
            <w:tcBorders>
              <w:top w:val="single" w:color="auto" w:sz="12" w:space="0"/>
              <w:left w:val="nil"/>
              <w:bottom w:val="nil"/>
              <w:right w:val="nil"/>
            </w:tcBorders>
            <w:noWrap w:val="0"/>
            <w:tcMar>
              <w:top w:w="-1" w:type="dxa"/>
              <w:left w:w="-1" w:type="dxa"/>
              <w:bottom w:w="-1" w:type="dxa"/>
              <w:right w:w="-1" w:type="dxa"/>
            </w:tcMar>
            <w:vAlign w:val="center"/>
          </w:tcPr>
          <w:p w14:paraId="52D08600">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数据类型</w:t>
            </w:r>
          </w:p>
        </w:tc>
        <w:tc>
          <w:tcPr>
            <w:tcW w:w="2810" w:type="dxa"/>
            <w:tcBorders>
              <w:top w:val="single" w:color="auto" w:sz="12" w:space="0"/>
              <w:left w:val="nil"/>
              <w:bottom w:val="nil"/>
              <w:right w:val="nil"/>
            </w:tcBorders>
            <w:noWrap w:val="0"/>
            <w:tcMar>
              <w:top w:w="-1" w:type="dxa"/>
              <w:left w:w="-1" w:type="dxa"/>
              <w:bottom w:w="-1" w:type="dxa"/>
              <w:right w:w="-1" w:type="dxa"/>
            </w:tcMar>
            <w:vAlign w:val="center"/>
          </w:tcPr>
          <w:p w14:paraId="6C6E5B79">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拟用数据</w:t>
            </w:r>
          </w:p>
        </w:tc>
        <w:tc>
          <w:tcPr>
            <w:tcW w:w="1500" w:type="dxa"/>
            <w:tcBorders>
              <w:top w:val="single" w:color="auto" w:sz="12" w:space="0"/>
              <w:left w:val="nil"/>
              <w:bottom w:val="nil"/>
              <w:right w:val="nil"/>
            </w:tcBorders>
            <w:noWrap w:val="0"/>
            <w:tcMar>
              <w:top w:w="-1" w:type="dxa"/>
              <w:left w:w="-1" w:type="dxa"/>
              <w:bottom w:w="-1" w:type="dxa"/>
              <w:right w:w="-1" w:type="dxa"/>
            </w:tcMar>
            <w:vAlign w:val="center"/>
          </w:tcPr>
          <w:p w14:paraId="050953F3">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时间</w:t>
            </w:r>
          </w:p>
        </w:tc>
        <w:tc>
          <w:tcPr>
            <w:tcW w:w="1540" w:type="dxa"/>
            <w:tcBorders>
              <w:top w:val="single" w:color="auto" w:sz="12" w:space="0"/>
              <w:left w:val="nil"/>
              <w:bottom w:val="nil"/>
              <w:right w:val="nil"/>
            </w:tcBorders>
            <w:noWrap w:val="0"/>
            <w:tcMar>
              <w:top w:w="-1" w:type="dxa"/>
              <w:left w:w="-1" w:type="dxa"/>
              <w:bottom w:w="-1" w:type="dxa"/>
              <w:right w:w="-1" w:type="dxa"/>
            </w:tcMar>
            <w:vAlign w:val="center"/>
          </w:tcPr>
          <w:p w14:paraId="255A72EA">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空间分辨率</w:t>
            </w:r>
          </w:p>
        </w:tc>
        <w:tc>
          <w:tcPr>
            <w:tcW w:w="2009" w:type="dxa"/>
            <w:tcBorders>
              <w:top w:val="single" w:color="auto" w:sz="12" w:space="0"/>
              <w:left w:val="nil"/>
              <w:bottom w:val="nil"/>
              <w:right w:val="nil"/>
            </w:tcBorders>
            <w:noWrap w:val="0"/>
            <w:tcMar>
              <w:top w:w="-1" w:type="dxa"/>
              <w:left w:w="-1" w:type="dxa"/>
              <w:bottom w:w="-1" w:type="dxa"/>
              <w:right w:w="-1" w:type="dxa"/>
            </w:tcMar>
            <w:vAlign w:val="center"/>
          </w:tcPr>
          <w:p w14:paraId="503CCE1E">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用途</w:t>
            </w:r>
          </w:p>
        </w:tc>
      </w:tr>
      <w:tr w14:paraId="7B943051">
        <w:tblPrEx>
          <w:tblCellMar>
            <w:top w:w="0" w:type="dxa"/>
            <w:left w:w="108" w:type="dxa"/>
            <w:bottom w:w="0" w:type="dxa"/>
            <w:right w:w="108" w:type="dxa"/>
          </w:tblCellMar>
        </w:tblPrEx>
        <w:trPr>
          <w:trHeight w:val="0" w:hRule="atLeast"/>
          <w:jc w:val="center"/>
        </w:trPr>
        <w:tc>
          <w:tcPr>
            <w:tcW w:w="1302" w:type="dxa"/>
            <w:tcBorders>
              <w:top w:val="single" w:color="auto" w:sz="4" w:space="0"/>
              <w:left w:val="nil"/>
              <w:bottom w:val="nil"/>
              <w:right w:val="nil"/>
            </w:tcBorders>
            <w:noWrap w:val="0"/>
            <w:tcMar>
              <w:top w:w="-1" w:type="dxa"/>
              <w:left w:w="-1" w:type="dxa"/>
              <w:bottom w:w="-1" w:type="dxa"/>
              <w:right w:w="-1" w:type="dxa"/>
            </w:tcMar>
            <w:vAlign w:val="center"/>
          </w:tcPr>
          <w:p w14:paraId="489F4FCD">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遥感影像</w:t>
            </w:r>
          </w:p>
        </w:tc>
        <w:tc>
          <w:tcPr>
            <w:tcW w:w="2810" w:type="dxa"/>
            <w:tcBorders>
              <w:top w:val="single" w:color="auto" w:sz="4" w:space="0"/>
              <w:left w:val="nil"/>
              <w:bottom w:val="nil"/>
              <w:right w:val="nil"/>
            </w:tcBorders>
            <w:noWrap w:val="0"/>
            <w:tcMar>
              <w:top w:w="-1" w:type="dxa"/>
              <w:left w:w="-1" w:type="dxa"/>
              <w:bottom w:w="-1" w:type="dxa"/>
              <w:right w:w="-1" w:type="dxa"/>
            </w:tcMar>
            <w:vAlign w:val="center"/>
          </w:tcPr>
          <w:p w14:paraId="6595EDD0">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Landsat 5 TM、Landsat 7 ETM+、Landsat 8/9 OLI/TIRS地表反射率数据</w:t>
            </w:r>
          </w:p>
        </w:tc>
        <w:tc>
          <w:tcPr>
            <w:tcW w:w="1500" w:type="dxa"/>
            <w:tcBorders>
              <w:top w:val="single" w:color="auto" w:sz="4" w:space="0"/>
              <w:left w:val="nil"/>
              <w:bottom w:val="nil"/>
              <w:right w:val="nil"/>
            </w:tcBorders>
            <w:noWrap w:val="0"/>
            <w:tcMar>
              <w:top w:w="-1" w:type="dxa"/>
              <w:left w:w="-1" w:type="dxa"/>
              <w:bottom w:w="-1" w:type="dxa"/>
              <w:right w:w="-1" w:type="dxa"/>
            </w:tcMar>
            <w:vAlign w:val="center"/>
          </w:tcPr>
          <w:p w14:paraId="588FB5D5">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2000、2010、2020、2024</w:t>
            </w:r>
          </w:p>
        </w:tc>
        <w:tc>
          <w:tcPr>
            <w:tcW w:w="1540" w:type="dxa"/>
            <w:tcBorders>
              <w:top w:val="single" w:color="auto" w:sz="4" w:space="0"/>
              <w:left w:val="nil"/>
              <w:bottom w:val="nil"/>
              <w:right w:val="nil"/>
            </w:tcBorders>
            <w:noWrap w:val="0"/>
            <w:tcMar>
              <w:top w:w="-1" w:type="dxa"/>
              <w:left w:w="-1" w:type="dxa"/>
              <w:bottom w:w="-1" w:type="dxa"/>
              <w:right w:w="-1" w:type="dxa"/>
            </w:tcMar>
            <w:vAlign w:val="center"/>
          </w:tcPr>
          <w:p w14:paraId="4341ACE5">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30 m</w:t>
            </w:r>
          </w:p>
        </w:tc>
        <w:tc>
          <w:tcPr>
            <w:tcW w:w="2009" w:type="dxa"/>
            <w:tcBorders>
              <w:top w:val="single" w:color="auto" w:sz="4" w:space="0"/>
              <w:left w:val="nil"/>
              <w:bottom w:val="nil"/>
              <w:right w:val="nil"/>
            </w:tcBorders>
            <w:noWrap w:val="0"/>
            <w:tcMar>
              <w:top w:w="-1" w:type="dxa"/>
              <w:left w:w="-1" w:type="dxa"/>
              <w:bottom w:w="-1" w:type="dxa"/>
              <w:right w:w="-1" w:type="dxa"/>
            </w:tcMar>
            <w:vAlign w:val="center"/>
          </w:tcPr>
          <w:p w14:paraId="220F681B">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构建RSEI</w:t>
            </w:r>
          </w:p>
        </w:tc>
      </w:tr>
      <w:tr w14:paraId="023FEE23">
        <w:tblPrEx>
          <w:tblCellMar>
            <w:top w:w="0" w:type="dxa"/>
            <w:left w:w="108" w:type="dxa"/>
            <w:bottom w:w="0" w:type="dxa"/>
            <w:right w:w="108" w:type="dxa"/>
          </w:tblCellMar>
        </w:tblPrEx>
        <w:trPr>
          <w:trHeight w:val="0" w:hRule="atLeast"/>
          <w:jc w:val="center"/>
        </w:trPr>
        <w:tc>
          <w:tcPr>
            <w:tcW w:w="1302" w:type="dxa"/>
            <w:tcBorders>
              <w:top w:val="nil"/>
              <w:left w:val="nil"/>
              <w:bottom w:val="nil"/>
              <w:right w:val="nil"/>
            </w:tcBorders>
            <w:noWrap w:val="0"/>
            <w:tcMar>
              <w:top w:w="-1" w:type="dxa"/>
              <w:left w:w="-1" w:type="dxa"/>
              <w:bottom w:w="-1" w:type="dxa"/>
              <w:right w:w="-1" w:type="dxa"/>
            </w:tcMar>
            <w:vAlign w:val="center"/>
          </w:tcPr>
          <w:p w14:paraId="02DA1AAF">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行政区划</w:t>
            </w:r>
          </w:p>
        </w:tc>
        <w:tc>
          <w:tcPr>
            <w:tcW w:w="2810" w:type="dxa"/>
            <w:tcBorders>
              <w:top w:val="nil"/>
              <w:left w:val="nil"/>
              <w:bottom w:val="nil"/>
              <w:right w:val="nil"/>
            </w:tcBorders>
            <w:noWrap w:val="0"/>
            <w:tcMar>
              <w:top w:w="-1" w:type="dxa"/>
              <w:left w:w="-1" w:type="dxa"/>
              <w:bottom w:w="-1" w:type="dxa"/>
              <w:right w:w="-1" w:type="dxa"/>
            </w:tcMar>
            <w:vAlign w:val="center"/>
          </w:tcPr>
          <w:p w14:paraId="0FE3F576">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福州市行政边界</w:t>
            </w:r>
          </w:p>
        </w:tc>
        <w:tc>
          <w:tcPr>
            <w:tcW w:w="1500" w:type="dxa"/>
            <w:tcBorders>
              <w:top w:val="nil"/>
              <w:left w:val="nil"/>
              <w:bottom w:val="nil"/>
              <w:right w:val="nil"/>
            </w:tcBorders>
            <w:noWrap w:val="0"/>
            <w:tcMar>
              <w:top w:w="-1" w:type="dxa"/>
              <w:left w:w="-1" w:type="dxa"/>
              <w:bottom w:w="-1" w:type="dxa"/>
              <w:right w:w="-1" w:type="dxa"/>
            </w:tcMar>
            <w:vAlign w:val="center"/>
          </w:tcPr>
          <w:p w14:paraId="2FD61A99">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最新</w:t>
            </w:r>
          </w:p>
        </w:tc>
        <w:tc>
          <w:tcPr>
            <w:tcW w:w="1540" w:type="dxa"/>
            <w:tcBorders>
              <w:top w:val="nil"/>
              <w:left w:val="nil"/>
              <w:bottom w:val="nil"/>
              <w:right w:val="nil"/>
            </w:tcBorders>
            <w:noWrap w:val="0"/>
            <w:tcMar>
              <w:top w:w="-1" w:type="dxa"/>
              <w:left w:w="-1" w:type="dxa"/>
              <w:bottom w:w="-1" w:type="dxa"/>
              <w:right w:w="-1" w:type="dxa"/>
            </w:tcMar>
            <w:vAlign w:val="center"/>
          </w:tcPr>
          <w:p w14:paraId="2F3D1611">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矢量</w:t>
            </w:r>
          </w:p>
        </w:tc>
        <w:tc>
          <w:tcPr>
            <w:tcW w:w="2009" w:type="dxa"/>
            <w:tcBorders>
              <w:top w:val="nil"/>
              <w:left w:val="nil"/>
              <w:bottom w:val="nil"/>
              <w:right w:val="nil"/>
            </w:tcBorders>
            <w:noWrap w:val="0"/>
            <w:tcMar>
              <w:top w:w="-1" w:type="dxa"/>
              <w:left w:w="-1" w:type="dxa"/>
              <w:bottom w:w="-1" w:type="dxa"/>
              <w:right w:w="-1" w:type="dxa"/>
            </w:tcMar>
            <w:vAlign w:val="center"/>
          </w:tcPr>
          <w:p w14:paraId="3FEAD76C">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分区统计</w:t>
            </w:r>
          </w:p>
        </w:tc>
      </w:tr>
      <w:tr w14:paraId="03816451">
        <w:tblPrEx>
          <w:tblCellMar>
            <w:top w:w="0" w:type="dxa"/>
            <w:left w:w="108" w:type="dxa"/>
            <w:bottom w:w="0" w:type="dxa"/>
            <w:right w:w="108" w:type="dxa"/>
          </w:tblCellMar>
        </w:tblPrEx>
        <w:trPr>
          <w:trHeight w:val="0" w:hRule="atLeast"/>
          <w:jc w:val="center"/>
        </w:trPr>
        <w:tc>
          <w:tcPr>
            <w:tcW w:w="1302" w:type="dxa"/>
            <w:tcBorders>
              <w:top w:val="nil"/>
              <w:left w:val="nil"/>
              <w:bottom w:val="nil"/>
              <w:right w:val="nil"/>
            </w:tcBorders>
            <w:noWrap w:val="0"/>
            <w:tcMar>
              <w:top w:w="-1" w:type="dxa"/>
              <w:left w:w="-1" w:type="dxa"/>
              <w:bottom w:w="-1" w:type="dxa"/>
              <w:right w:w="-1" w:type="dxa"/>
            </w:tcMar>
            <w:vAlign w:val="center"/>
          </w:tcPr>
          <w:p w14:paraId="7D52D3C8">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土地利用</w:t>
            </w:r>
          </w:p>
        </w:tc>
        <w:tc>
          <w:tcPr>
            <w:tcW w:w="2810" w:type="dxa"/>
            <w:tcBorders>
              <w:top w:val="nil"/>
              <w:left w:val="nil"/>
              <w:bottom w:val="nil"/>
              <w:right w:val="nil"/>
            </w:tcBorders>
            <w:noWrap w:val="0"/>
            <w:tcMar>
              <w:top w:w="-1" w:type="dxa"/>
              <w:left w:w="-1" w:type="dxa"/>
              <w:bottom w:w="-1" w:type="dxa"/>
              <w:right w:w="-1" w:type="dxa"/>
            </w:tcMar>
            <w:vAlign w:val="center"/>
          </w:tcPr>
          <w:p w14:paraId="1178D682">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CLCD、GlobeLand30或资源环境科学与数据中心土地利用数据</w:t>
            </w:r>
          </w:p>
        </w:tc>
        <w:tc>
          <w:tcPr>
            <w:tcW w:w="1500" w:type="dxa"/>
            <w:tcBorders>
              <w:top w:val="nil"/>
              <w:left w:val="nil"/>
              <w:bottom w:val="nil"/>
              <w:right w:val="nil"/>
            </w:tcBorders>
            <w:noWrap w:val="0"/>
            <w:tcMar>
              <w:top w:w="-1" w:type="dxa"/>
              <w:left w:w="-1" w:type="dxa"/>
              <w:bottom w:w="-1" w:type="dxa"/>
              <w:right w:w="-1" w:type="dxa"/>
            </w:tcMar>
            <w:vAlign w:val="center"/>
          </w:tcPr>
          <w:p w14:paraId="2E9BC963">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2000、2010、2020、2024附近年份</w:t>
            </w:r>
          </w:p>
        </w:tc>
        <w:tc>
          <w:tcPr>
            <w:tcW w:w="1540" w:type="dxa"/>
            <w:tcBorders>
              <w:top w:val="nil"/>
              <w:left w:val="nil"/>
              <w:bottom w:val="nil"/>
              <w:right w:val="nil"/>
            </w:tcBorders>
            <w:noWrap w:val="0"/>
            <w:tcMar>
              <w:top w:w="-1" w:type="dxa"/>
              <w:left w:w="-1" w:type="dxa"/>
              <w:bottom w:w="-1" w:type="dxa"/>
              <w:right w:w="-1" w:type="dxa"/>
            </w:tcMar>
            <w:vAlign w:val="center"/>
          </w:tcPr>
          <w:p w14:paraId="7386F623">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30 m或更高</w:t>
            </w:r>
          </w:p>
        </w:tc>
        <w:tc>
          <w:tcPr>
            <w:tcW w:w="2009" w:type="dxa"/>
            <w:tcBorders>
              <w:top w:val="nil"/>
              <w:left w:val="nil"/>
              <w:bottom w:val="nil"/>
              <w:right w:val="nil"/>
            </w:tcBorders>
            <w:noWrap w:val="0"/>
            <w:tcMar>
              <w:top w:w="-1" w:type="dxa"/>
              <w:left w:w="-1" w:type="dxa"/>
              <w:bottom w:w="-1" w:type="dxa"/>
              <w:right w:w="-1" w:type="dxa"/>
            </w:tcMar>
            <w:vAlign w:val="center"/>
          </w:tcPr>
          <w:p w14:paraId="0DE3D3C1">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分析建设用地扩张</w:t>
            </w:r>
          </w:p>
        </w:tc>
      </w:tr>
      <w:tr w14:paraId="55F05DFE">
        <w:tblPrEx>
          <w:tblCellMar>
            <w:top w:w="0" w:type="dxa"/>
            <w:left w:w="108" w:type="dxa"/>
            <w:bottom w:w="0" w:type="dxa"/>
            <w:right w:w="108" w:type="dxa"/>
          </w:tblCellMar>
        </w:tblPrEx>
        <w:trPr>
          <w:trHeight w:val="0" w:hRule="atLeast"/>
          <w:jc w:val="center"/>
        </w:trPr>
        <w:tc>
          <w:tcPr>
            <w:tcW w:w="1302" w:type="dxa"/>
            <w:tcBorders>
              <w:top w:val="nil"/>
              <w:left w:val="nil"/>
              <w:bottom w:val="nil"/>
              <w:right w:val="nil"/>
            </w:tcBorders>
            <w:noWrap w:val="0"/>
            <w:tcMar>
              <w:top w:w="-1" w:type="dxa"/>
              <w:left w:w="-1" w:type="dxa"/>
              <w:bottom w:w="-1" w:type="dxa"/>
              <w:right w:w="-1" w:type="dxa"/>
            </w:tcMar>
            <w:vAlign w:val="center"/>
          </w:tcPr>
          <w:p w14:paraId="6D807E6A">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夜间灯光</w:t>
            </w:r>
          </w:p>
        </w:tc>
        <w:tc>
          <w:tcPr>
            <w:tcW w:w="2810" w:type="dxa"/>
            <w:tcBorders>
              <w:top w:val="nil"/>
              <w:left w:val="nil"/>
              <w:bottom w:val="nil"/>
              <w:right w:val="nil"/>
            </w:tcBorders>
            <w:noWrap w:val="0"/>
            <w:tcMar>
              <w:top w:w="-1" w:type="dxa"/>
              <w:left w:w="-1" w:type="dxa"/>
              <w:bottom w:w="-1" w:type="dxa"/>
              <w:right w:w="-1" w:type="dxa"/>
            </w:tcMar>
            <w:vAlign w:val="center"/>
          </w:tcPr>
          <w:p w14:paraId="4364F2B3">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DMSP/OLS、NPP-VIIRS或跨传感器校正后的连续夜间灯光数据</w:t>
            </w:r>
          </w:p>
        </w:tc>
        <w:tc>
          <w:tcPr>
            <w:tcW w:w="1500" w:type="dxa"/>
            <w:tcBorders>
              <w:top w:val="nil"/>
              <w:left w:val="nil"/>
              <w:bottom w:val="nil"/>
              <w:right w:val="nil"/>
            </w:tcBorders>
            <w:noWrap w:val="0"/>
            <w:tcMar>
              <w:top w:w="-1" w:type="dxa"/>
              <w:left w:w="-1" w:type="dxa"/>
              <w:bottom w:w="-1" w:type="dxa"/>
              <w:right w:w="-1" w:type="dxa"/>
            </w:tcMar>
            <w:vAlign w:val="center"/>
          </w:tcPr>
          <w:p w14:paraId="5B8DFCF0">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2000年以来</w:t>
            </w:r>
          </w:p>
        </w:tc>
        <w:tc>
          <w:tcPr>
            <w:tcW w:w="1540" w:type="dxa"/>
            <w:tcBorders>
              <w:top w:val="nil"/>
              <w:left w:val="nil"/>
              <w:bottom w:val="nil"/>
              <w:right w:val="nil"/>
            </w:tcBorders>
            <w:noWrap w:val="0"/>
            <w:tcMar>
              <w:top w:w="-1" w:type="dxa"/>
              <w:left w:w="-1" w:type="dxa"/>
              <w:bottom w:w="-1" w:type="dxa"/>
              <w:right w:w="-1" w:type="dxa"/>
            </w:tcMar>
            <w:vAlign w:val="center"/>
          </w:tcPr>
          <w:p w14:paraId="6F2997AA">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500 m至1 km</w:t>
            </w:r>
          </w:p>
        </w:tc>
        <w:tc>
          <w:tcPr>
            <w:tcW w:w="2009" w:type="dxa"/>
            <w:tcBorders>
              <w:top w:val="nil"/>
              <w:left w:val="nil"/>
              <w:bottom w:val="nil"/>
              <w:right w:val="nil"/>
            </w:tcBorders>
            <w:noWrap w:val="0"/>
            <w:tcMar>
              <w:top w:w="-1" w:type="dxa"/>
              <w:left w:w="-1" w:type="dxa"/>
              <w:bottom w:w="-1" w:type="dxa"/>
              <w:right w:w="-1" w:type="dxa"/>
            </w:tcMar>
            <w:vAlign w:val="center"/>
          </w:tcPr>
          <w:p w14:paraId="48081C7E">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表征人类活动强度</w:t>
            </w:r>
          </w:p>
        </w:tc>
      </w:tr>
      <w:tr w14:paraId="09E88016">
        <w:tblPrEx>
          <w:tblCellMar>
            <w:top w:w="0" w:type="dxa"/>
            <w:left w:w="108" w:type="dxa"/>
            <w:bottom w:w="0" w:type="dxa"/>
            <w:right w:w="108" w:type="dxa"/>
          </w:tblCellMar>
        </w:tblPrEx>
        <w:trPr>
          <w:trHeight w:val="0" w:hRule="atLeast"/>
          <w:jc w:val="center"/>
        </w:trPr>
        <w:tc>
          <w:tcPr>
            <w:tcW w:w="1302" w:type="dxa"/>
            <w:tcBorders>
              <w:top w:val="nil"/>
              <w:left w:val="nil"/>
              <w:bottom w:val="nil"/>
              <w:right w:val="nil"/>
            </w:tcBorders>
            <w:noWrap w:val="0"/>
            <w:tcMar>
              <w:top w:w="-1" w:type="dxa"/>
              <w:left w:w="-1" w:type="dxa"/>
              <w:bottom w:w="-1" w:type="dxa"/>
              <w:right w:w="-1" w:type="dxa"/>
            </w:tcMar>
            <w:vAlign w:val="center"/>
          </w:tcPr>
          <w:p w14:paraId="48D09475">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DEM</w:t>
            </w:r>
            <w:r>
              <w:rPr>
                <w:rFonts w:hint="eastAsia" w:ascii="宋体" w:hAnsi="宋体" w:eastAsia="宋体" w:cs="宋体"/>
                <w:sz w:val="21"/>
                <w:szCs w:val="21"/>
                <w:lang w:val="en-US" w:eastAsia="zh-CN"/>
              </w:rPr>
              <w:t>数据</w:t>
            </w:r>
          </w:p>
        </w:tc>
        <w:tc>
          <w:tcPr>
            <w:tcW w:w="2810" w:type="dxa"/>
            <w:tcBorders>
              <w:top w:val="nil"/>
              <w:left w:val="nil"/>
              <w:bottom w:val="nil"/>
              <w:right w:val="nil"/>
            </w:tcBorders>
            <w:noWrap w:val="0"/>
            <w:tcMar>
              <w:top w:w="-1" w:type="dxa"/>
              <w:left w:w="-1" w:type="dxa"/>
              <w:bottom w:w="-1" w:type="dxa"/>
              <w:right w:w="-1" w:type="dxa"/>
            </w:tcMar>
            <w:vAlign w:val="center"/>
          </w:tcPr>
          <w:p w14:paraId="0247CCB1">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SRTM或ASTER GDEM</w:t>
            </w:r>
          </w:p>
        </w:tc>
        <w:tc>
          <w:tcPr>
            <w:tcW w:w="1500" w:type="dxa"/>
            <w:tcBorders>
              <w:top w:val="nil"/>
              <w:left w:val="nil"/>
              <w:bottom w:val="nil"/>
              <w:right w:val="nil"/>
            </w:tcBorders>
            <w:noWrap w:val="0"/>
            <w:tcMar>
              <w:top w:w="-1" w:type="dxa"/>
              <w:left w:w="-1" w:type="dxa"/>
              <w:bottom w:w="-1" w:type="dxa"/>
              <w:right w:w="-1" w:type="dxa"/>
            </w:tcMar>
            <w:vAlign w:val="center"/>
          </w:tcPr>
          <w:p w14:paraId="3A1E5387">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固定年份</w:t>
            </w:r>
          </w:p>
        </w:tc>
        <w:tc>
          <w:tcPr>
            <w:tcW w:w="1540" w:type="dxa"/>
            <w:tcBorders>
              <w:top w:val="nil"/>
              <w:left w:val="nil"/>
              <w:bottom w:val="nil"/>
              <w:right w:val="nil"/>
            </w:tcBorders>
            <w:noWrap w:val="0"/>
            <w:tcMar>
              <w:top w:w="-1" w:type="dxa"/>
              <w:left w:w="-1" w:type="dxa"/>
              <w:bottom w:w="-1" w:type="dxa"/>
              <w:right w:w="-1" w:type="dxa"/>
            </w:tcMar>
            <w:vAlign w:val="center"/>
          </w:tcPr>
          <w:p w14:paraId="7BEE2EE5">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30 m</w:t>
            </w:r>
          </w:p>
        </w:tc>
        <w:tc>
          <w:tcPr>
            <w:tcW w:w="2009" w:type="dxa"/>
            <w:tcBorders>
              <w:top w:val="nil"/>
              <w:left w:val="nil"/>
              <w:bottom w:val="nil"/>
              <w:right w:val="nil"/>
            </w:tcBorders>
            <w:noWrap w:val="0"/>
            <w:tcMar>
              <w:top w:w="-1" w:type="dxa"/>
              <w:left w:w="-1" w:type="dxa"/>
              <w:bottom w:w="-1" w:type="dxa"/>
              <w:right w:w="-1" w:type="dxa"/>
            </w:tcMar>
            <w:vAlign w:val="center"/>
          </w:tcPr>
          <w:p w14:paraId="6F848E82">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分析地形因素</w:t>
            </w:r>
          </w:p>
        </w:tc>
      </w:tr>
      <w:tr w14:paraId="04CEC96C">
        <w:tblPrEx>
          <w:tblCellMar>
            <w:top w:w="0" w:type="dxa"/>
            <w:left w:w="108" w:type="dxa"/>
            <w:bottom w:w="0" w:type="dxa"/>
            <w:right w:w="108" w:type="dxa"/>
          </w:tblCellMar>
        </w:tblPrEx>
        <w:trPr>
          <w:trHeight w:val="0" w:hRule="atLeast"/>
          <w:jc w:val="center"/>
        </w:trPr>
        <w:tc>
          <w:tcPr>
            <w:tcW w:w="1302" w:type="dxa"/>
            <w:tcBorders>
              <w:top w:val="nil"/>
              <w:left w:val="nil"/>
              <w:bottom w:val="nil"/>
              <w:right w:val="nil"/>
            </w:tcBorders>
            <w:noWrap w:val="0"/>
            <w:tcMar>
              <w:top w:w="-1" w:type="dxa"/>
              <w:left w:w="-1" w:type="dxa"/>
              <w:bottom w:w="-1" w:type="dxa"/>
              <w:right w:w="-1" w:type="dxa"/>
            </w:tcMar>
            <w:vAlign w:val="center"/>
          </w:tcPr>
          <w:p w14:paraId="1B9EC3B1">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道路数据</w:t>
            </w:r>
          </w:p>
        </w:tc>
        <w:tc>
          <w:tcPr>
            <w:tcW w:w="2810" w:type="dxa"/>
            <w:tcBorders>
              <w:top w:val="nil"/>
              <w:left w:val="nil"/>
              <w:bottom w:val="nil"/>
              <w:right w:val="nil"/>
            </w:tcBorders>
            <w:noWrap w:val="0"/>
            <w:tcMar>
              <w:top w:w="-1" w:type="dxa"/>
              <w:left w:w="-1" w:type="dxa"/>
              <w:bottom w:w="-1" w:type="dxa"/>
              <w:right w:w="-1" w:type="dxa"/>
            </w:tcMar>
            <w:vAlign w:val="center"/>
          </w:tcPr>
          <w:p w14:paraId="1930EDFE">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OpenStreetMap、高德开放平台或政府公开道路数据</w:t>
            </w:r>
          </w:p>
        </w:tc>
        <w:tc>
          <w:tcPr>
            <w:tcW w:w="1500" w:type="dxa"/>
            <w:tcBorders>
              <w:top w:val="nil"/>
              <w:left w:val="nil"/>
              <w:bottom w:val="nil"/>
              <w:right w:val="nil"/>
            </w:tcBorders>
            <w:noWrap w:val="0"/>
            <w:tcMar>
              <w:top w:w="-1" w:type="dxa"/>
              <w:left w:w="-1" w:type="dxa"/>
              <w:bottom w:w="-1" w:type="dxa"/>
              <w:right w:w="-1" w:type="dxa"/>
            </w:tcMar>
            <w:vAlign w:val="center"/>
          </w:tcPr>
          <w:p w14:paraId="2053A759">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最新</w:t>
            </w:r>
          </w:p>
        </w:tc>
        <w:tc>
          <w:tcPr>
            <w:tcW w:w="1540" w:type="dxa"/>
            <w:tcBorders>
              <w:top w:val="nil"/>
              <w:left w:val="nil"/>
              <w:bottom w:val="nil"/>
              <w:right w:val="nil"/>
            </w:tcBorders>
            <w:noWrap w:val="0"/>
            <w:tcMar>
              <w:top w:w="-1" w:type="dxa"/>
              <w:left w:w="-1" w:type="dxa"/>
              <w:bottom w:w="-1" w:type="dxa"/>
              <w:right w:w="-1" w:type="dxa"/>
            </w:tcMar>
            <w:vAlign w:val="center"/>
          </w:tcPr>
          <w:p w14:paraId="230E6020">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矢量</w:t>
            </w:r>
          </w:p>
        </w:tc>
        <w:tc>
          <w:tcPr>
            <w:tcW w:w="2009" w:type="dxa"/>
            <w:tcBorders>
              <w:top w:val="nil"/>
              <w:left w:val="nil"/>
              <w:bottom w:val="nil"/>
              <w:right w:val="nil"/>
            </w:tcBorders>
            <w:noWrap w:val="0"/>
            <w:tcMar>
              <w:top w:w="-1" w:type="dxa"/>
              <w:left w:w="-1" w:type="dxa"/>
              <w:bottom w:w="-1" w:type="dxa"/>
              <w:right w:w="-1" w:type="dxa"/>
            </w:tcMar>
            <w:vAlign w:val="center"/>
          </w:tcPr>
          <w:p w14:paraId="3907A38D">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表征交通建设强度</w:t>
            </w:r>
          </w:p>
        </w:tc>
      </w:tr>
      <w:tr w14:paraId="25786D7C">
        <w:tblPrEx>
          <w:tblCellMar>
            <w:top w:w="0" w:type="dxa"/>
            <w:left w:w="108" w:type="dxa"/>
            <w:bottom w:w="0" w:type="dxa"/>
            <w:right w:w="108" w:type="dxa"/>
          </w:tblCellMar>
        </w:tblPrEx>
        <w:trPr>
          <w:trHeight w:val="0" w:hRule="atLeast"/>
          <w:jc w:val="center"/>
        </w:trPr>
        <w:tc>
          <w:tcPr>
            <w:tcW w:w="1302" w:type="dxa"/>
            <w:tcBorders>
              <w:top w:val="nil"/>
              <w:left w:val="nil"/>
              <w:bottom w:val="single" w:color="auto" w:sz="12" w:space="0"/>
              <w:right w:val="nil"/>
            </w:tcBorders>
            <w:noWrap w:val="0"/>
            <w:tcMar>
              <w:top w:w="-1" w:type="dxa"/>
              <w:left w:w="-1" w:type="dxa"/>
              <w:bottom w:w="-1" w:type="dxa"/>
              <w:right w:w="-1" w:type="dxa"/>
            </w:tcMar>
            <w:vAlign w:val="center"/>
          </w:tcPr>
          <w:p w14:paraId="5E5C9664">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统计资料</w:t>
            </w:r>
          </w:p>
        </w:tc>
        <w:tc>
          <w:tcPr>
            <w:tcW w:w="2810" w:type="dxa"/>
            <w:tcBorders>
              <w:top w:val="nil"/>
              <w:left w:val="nil"/>
              <w:bottom w:val="single" w:color="auto" w:sz="12" w:space="0"/>
              <w:right w:val="nil"/>
            </w:tcBorders>
            <w:noWrap w:val="0"/>
            <w:tcMar>
              <w:top w:w="-1" w:type="dxa"/>
              <w:left w:w="-1" w:type="dxa"/>
              <w:bottom w:w="-1" w:type="dxa"/>
              <w:right w:w="-1" w:type="dxa"/>
            </w:tcMar>
            <w:vAlign w:val="center"/>
          </w:tcPr>
          <w:p w14:paraId="436796D9">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福州市统计年鉴、国民经济和社会发展统计公报</w:t>
            </w:r>
          </w:p>
        </w:tc>
        <w:tc>
          <w:tcPr>
            <w:tcW w:w="1500" w:type="dxa"/>
            <w:tcBorders>
              <w:top w:val="nil"/>
              <w:left w:val="nil"/>
              <w:bottom w:val="single" w:color="auto" w:sz="12" w:space="0"/>
              <w:right w:val="nil"/>
            </w:tcBorders>
            <w:noWrap w:val="0"/>
            <w:tcMar>
              <w:top w:w="-1" w:type="dxa"/>
              <w:left w:w="-1" w:type="dxa"/>
              <w:bottom w:w="-1" w:type="dxa"/>
              <w:right w:w="-1" w:type="dxa"/>
            </w:tcMar>
            <w:vAlign w:val="center"/>
          </w:tcPr>
          <w:p w14:paraId="5445B454">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对应年份</w:t>
            </w:r>
          </w:p>
        </w:tc>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468A8277">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区县尺度</w:t>
            </w:r>
          </w:p>
        </w:tc>
        <w:tc>
          <w:tcPr>
            <w:tcW w:w="2009" w:type="dxa"/>
            <w:tcBorders>
              <w:top w:val="nil"/>
              <w:left w:val="nil"/>
              <w:bottom w:val="single" w:color="auto" w:sz="12" w:space="0"/>
              <w:right w:val="nil"/>
            </w:tcBorders>
            <w:noWrap w:val="0"/>
            <w:tcMar>
              <w:top w:w="-1" w:type="dxa"/>
              <w:left w:w="-1" w:type="dxa"/>
              <w:bottom w:w="-1" w:type="dxa"/>
              <w:right w:w="-1" w:type="dxa"/>
            </w:tcMar>
            <w:vAlign w:val="center"/>
          </w:tcPr>
          <w:p w14:paraId="0026730F">
            <w:pPr>
              <w:pStyle w:val="99"/>
              <w:pageBreakBefore w:val="0"/>
              <w:widowControl/>
              <w:kinsoku/>
              <w:wordWrap/>
              <w:overflowPunct/>
              <w:topLinePunct w:val="0"/>
              <w:autoSpaceDE/>
              <w:autoSpaceDN/>
              <w:bidi w:val="0"/>
              <w:adjustRightInd/>
              <w:snapToGrid w:val="0"/>
              <w:spacing w:before="0" w:after="0" w:line="240" w:lineRule="auto"/>
              <w:ind w:left="0" w:leftChars="0" w:right="0" w:rightChars="0"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解释人口、GDP、产业与城市扩张背景</w:t>
            </w:r>
          </w:p>
        </w:tc>
      </w:tr>
      <w:bookmarkEnd w:id="6"/>
      <w:bookmarkEnd w:id="8"/>
    </w:tbl>
    <w:p w14:paraId="2B63FA0D">
      <w:pPr>
        <w:pStyle w:val="120"/>
        <w:pageBreakBefore w:val="0"/>
        <w:widowControl/>
        <w:kinsoku/>
        <w:wordWrap/>
        <w:overflowPunct/>
        <w:topLinePunct w:val="0"/>
        <w:autoSpaceDE/>
        <w:autoSpaceDN/>
        <w:bidi w:val="0"/>
        <w:adjustRightInd/>
        <w:snapToGrid w:val="0"/>
        <w:spacing w:before="0" w:after="0" w:line="360" w:lineRule="auto"/>
        <w:jc w:val="center"/>
        <w:textAlignment w:val="auto"/>
        <w:rPr>
          <w:rFonts w:hint="eastAsia" w:ascii="Times New Roman" w:hAnsi="Times New Roman" w:eastAsia="宋体"/>
          <w:i w:val="0"/>
          <w:iCs/>
          <w:lang w:val="en-US" w:eastAsia="zh-CN"/>
        </w:rPr>
      </w:pPr>
      <w:bookmarkStart w:id="9" w:name="六研究内容"/>
    </w:p>
    <w:p w14:paraId="45010A1A">
      <w:pPr>
        <w:pStyle w:val="120"/>
        <w:pageBreakBefore w:val="0"/>
        <w:widowControl/>
        <w:kinsoku/>
        <w:wordWrap/>
        <w:overflowPunct/>
        <w:topLinePunct w:val="0"/>
        <w:autoSpaceDE/>
        <w:autoSpaceDN/>
        <w:bidi w:val="0"/>
        <w:adjustRightInd/>
        <w:snapToGrid w:val="0"/>
        <w:spacing w:before="0" w:after="0" w:line="360" w:lineRule="auto"/>
        <w:jc w:val="center"/>
        <w:textAlignment w:val="auto"/>
        <w:rPr>
          <w:rFonts w:hint="eastAsia" w:ascii="Times New Roman" w:hAnsi="Times New Roman" w:eastAsia="宋体"/>
          <w:i w:val="0"/>
          <w:iCs/>
          <w:lang w:val="en-US" w:eastAsia="zh-CN"/>
        </w:rPr>
      </w:pPr>
      <w:r>
        <w:rPr>
          <w:rFonts w:hint="eastAsia" w:ascii="Times New Roman" w:hAnsi="Times New Roman" w:eastAsia="宋体"/>
          <w:i w:val="0"/>
          <w:iCs/>
          <w:lang w:val="en-US" w:eastAsia="zh-CN"/>
        </w:rPr>
        <w:t>表1 研究数据源</w:t>
      </w:r>
    </w:p>
    <w:p w14:paraId="641FF104">
      <w:pPr>
        <w:pStyle w:val="4"/>
        <w:numPr>
          <w:ilvl w:val="0"/>
          <w:numId w:val="2"/>
        </w:numPr>
        <w:bidi w:val="0"/>
        <w:ind w:left="0" w:leftChars="0" w:firstLine="0" w:firstLineChars="0"/>
      </w:pPr>
      <w:r>
        <w:rPr>
          <w:rFonts w:hint="eastAsia"/>
        </w:rPr>
        <w:t>研究内容</w:t>
      </w:r>
    </w:p>
    <w:p w14:paraId="077AA1A2">
      <w:pPr>
        <w:pStyle w:val="4"/>
        <w:bidi w:val="0"/>
        <w:rPr>
          <w:rFonts w:hint="eastAsia"/>
        </w:rPr>
      </w:pPr>
      <w:bookmarkStart w:id="10" w:name="福州市rsei模型构建"/>
      <w:r>
        <w:rPr>
          <w:rFonts w:hint="eastAsia"/>
        </w:rPr>
        <w:t>福州市RSEI模型构建</w:t>
      </w:r>
    </w:p>
    <w:p w14:paraId="08569BEB">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基于Landsat影像计算4个生态分量：</w:t>
      </w:r>
    </w:p>
    <w:p w14:paraId="6ADDA539">
      <w:pPr>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482"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bCs w:val="0"/>
          <w:sz w:val="24"/>
          <w:szCs w:val="24"/>
        </w:rPr>
        <w:t>绿度指标</w:t>
      </w:r>
      <w:r>
        <w:rPr>
          <w:rFonts w:hint="eastAsia" w:ascii="Times New Roman" w:hAnsi="Times New Roman" w:eastAsia="宋体" w:cs="宋体"/>
          <w:b w:val="0"/>
          <w:bCs/>
          <w:sz w:val="24"/>
          <w:szCs w:val="24"/>
        </w:rPr>
        <w:t>：采用归一化植被指数NDVI，反映植被覆盖状况。</w:t>
      </w:r>
    </w:p>
    <w:p w14:paraId="2F59DA87">
      <w:pPr>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482"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bCs w:val="0"/>
          <w:sz w:val="24"/>
          <w:szCs w:val="24"/>
        </w:rPr>
        <w:t>湿度指标</w:t>
      </w:r>
      <w:r>
        <w:rPr>
          <w:rFonts w:hint="eastAsia" w:ascii="Times New Roman" w:hAnsi="Times New Roman" w:eastAsia="宋体" w:cs="宋体"/>
          <w:b w:val="0"/>
          <w:bCs/>
          <w:sz w:val="24"/>
          <w:szCs w:val="24"/>
        </w:rPr>
        <w:t>：采用缨帽变换湿度分量WET，反映地表湿润程度。</w:t>
      </w:r>
    </w:p>
    <w:p w14:paraId="24E1EBEE">
      <w:pPr>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482"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bCs w:val="0"/>
          <w:sz w:val="24"/>
          <w:szCs w:val="24"/>
        </w:rPr>
        <w:t>干度指标</w:t>
      </w:r>
      <w:r>
        <w:rPr>
          <w:rFonts w:hint="eastAsia" w:ascii="Times New Roman" w:hAnsi="Times New Roman" w:eastAsia="宋体" w:cs="宋体"/>
          <w:b w:val="0"/>
          <w:bCs/>
          <w:sz w:val="24"/>
          <w:szCs w:val="24"/>
        </w:rPr>
        <w:t>：采用建筑裸土指数NDBSI，反映裸地、建设用地和干燥地表状况。</w:t>
      </w:r>
    </w:p>
    <w:p w14:paraId="4B7AF79B">
      <w:pPr>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482"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bCs w:val="0"/>
          <w:sz w:val="24"/>
          <w:szCs w:val="24"/>
        </w:rPr>
        <w:t>热度指标</w:t>
      </w:r>
      <w:r>
        <w:rPr>
          <w:rFonts w:hint="eastAsia" w:ascii="Times New Roman" w:hAnsi="Times New Roman" w:eastAsia="宋体" w:cs="宋体"/>
          <w:b w:val="0"/>
          <w:bCs/>
          <w:sz w:val="24"/>
          <w:szCs w:val="24"/>
        </w:rPr>
        <w:t>：采用地表温度LST，反映城市热环境压力。</w:t>
      </w:r>
    </w:p>
    <w:p w14:paraId="6E66754A">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其中，NDVI按</w:t>
      </w:r>
      <m:oMath>
        <m:r>
          <m:rPr/>
          <w:rPr>
            <w:rFonts w:hint="default" w:ascii="Times New Roman" w:hAnsi="Times New Roman" w:eastAsia="宋体"/>
            <w:sz w:val="24"/>
          </w:rPr>
          <m:t>(NIR−Red)/(NIR+Red)</m:t>
        </m:r>
      </m:oMath>
      <w:r>
        <w:rPr>
          <w:rFonts w:hint="eastAsia" w:ascii="Times New Roman" w:hAnsi="Times New Roman" w:eastAsia="宋体" w:cs="宋体"/>
          <w:b w:val="0"/>
          <w:bCs/>
          <w:sz w:val="24"/>
          <w:szCs w:val="24"/>
        </w:rPr>
        <w:t>计算，WET根据不同Landsat传感器对应的缨帽变换系数计算，NDBSI可由建筑指数IBI和裸土指数SI平均得到，即</w:t>
      </w:r>
      <m:oMath>
        <m:r>
          <m:rPr/>
          <w:rPr>
            <w:rFonts w:hint="default" w:ascii="Times New Roman" w:hAnsi="Times New Roman" w:eastAsia="宋体"/>
            <w:sz w:val="24"/>
          </w:rPr>
          <m:t>NDBSI=(IBI+SI)/2</m:t>
        </m:r>
      </m:oMath>
      <w:r>
        <w:rPr>
          <w:rFonts w:hint="eastAsia" w:ascii="Times New Roman" w:hAnsi="Times New Roman" w:eastAsia="宋体" w:cs="宋体"/>
          <w:b w:val="0"/>
          <w:bCs/>
          <w:sz w:val="24"/>
          <w:szCs w:val="24"/>
        </w:rPr>
        <w:t>，LST优先采用Landsat地表温度产品或基于热红外波段反演得到。</w:t>
      </w:r>
    </w:p>
    <w:p w14:paraId="16C20BF5">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对4个指标进行0-1归一化处理后，采用主成分分析（PCA）提取第一主成分，并根据PC1载荷方向调整得到RSEI。一般情况下，NDVI和WET对生态质量起正向作用，NDBSI和LST起负向作用；若PC1中绿度、湿度载荷为正且干度、热度载荷为负，则将PC1归一化后作为RSEI；若方向相反，则采用1-PC1归一化值进行方向修正。该步骤需要先判断载荷方向再确定最终RSEI，</w:t>
      </w:r>
      <w:r>
        <w:rPr>
          <w:rFonts w:hint="eastAsia" w:ascii="Times New Roman" w:hAnsi="Times New Roman" w:eastAsia="宋体" w:cs="宋体"/>
          <w:b w:val="0"/>
          <w:bCs/>
          <w:sz w:val="24"/>
          <w:szCs w:val="24"/>
          <w:lang w:val="en-US" w:eastAsia="zh-CN"/>
        </w:rPr>
        <w:t>从而</w:t>
      </w:r>
      <w:r>
        <w:rPr>
          <w:rFonts w:hint="eastAsia" w:ascii="Times New Roman" w:hAnsi="Times New Roman" w:eastAsia="宋体" w:cs="宋体"/>
          <w:b w:val="0"/>
          <w:bCs/>
          <w:sz w:val="24"/>
          <w:szCs w:val="24"/>
        </w:rPr>
        <w:t>避免机械</w:t>
      </w:r>
      <w:r>
        <w:rPr>
          <w:rFonts w:hint="eastAsia" w:ascii="Times New Roman" w:hAnsi="Times New Roman" w:eastAsia="宋体" w:cs="宋体"/>
          <w:b w:val="0"/>
          <w:bCs/>
          <w:sz w:val="24"/>
          <w:szCs w:val="24"/>
          <w:lang w:val="en-US" w:eastAsia="zh-CN"/>
        </w:rPr>
        <w:t>地</w:t>
      </w:r>
      <w:r>
        <w:rPr>
          <w:rFonts w:hint="eastAsia" w:ascii="Times New Roman" w:hAnsi="Times New Roman" w:eastAsia="宋体" w:cs="宋体"/>
          <w:b w:val="0"/>
          <w:bCs/>
          <w:sz w:val="24"/>
          <w:szCs w:val="24"/>
        </w:rPr>
        <w:t>反向处理</w:t>
      </w:r>
      <w:r>
        <w:rPr>
          <w:rFonts w:hint="eastAsia" w:ascii="Times New Roman" w:hAnsi="Times New Roman" w:eastAsia="宋体" w:cs="宋体"/>
          <w:b w:val="0"/>
          <w:bCs/>
          <w:sz w:val="24"/>
          <w:szCs w:val="24"/>
          <w:lang w:val="en-US" w:eastAsia="zh-CN"/>
        </w:rPr>
        <w:t>可能产生的问题</w:t>
      </w:r>
      <w:r>
        <w:rPr>
          <w:rFonts w:hint="eastAsia" w:ascii="Times New Roman" w:hAnsi="Times New Roman" w:eastAsia="宋体" w:cs="宋体"/>
          <w:b w:val="0"/>
          <w:bCs/>
          <w:sz w:val="24"/>
          <w:szCs w:val="24"/>
        </w:rPr>
        <w:t>。</w:t>
      </w:r>
    </w:p>
    <w:bookmarkEnd w:id="10"/>
    <w:p w14:paraId="1C87BA93">
      <w:pPr>
        <w:pStyle w:val="4"/>
        <w:bidi w:val="0"/>
        <w:rPr>
          <w:rFonts w:hint="eastAsia"/>
        </w:rPr>
      </w:pPr>
      <w:bookmarkStart w:id="11" w:name="福州市生态环境质量时空格局分析"/>
      <w:r>
        <w:rPr>
          <w:rFonts w:hint="eastAsia"/>
        </w:rPr>
        <w:t>福州市生态环境质量时空格局分析</w:t>
      </w:r>
    </w:p>
    <w:p w14:paraId="724A87FB">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将RSEI划分为差、较差、中等、良、优5个等级，分析不同时期福州市生态环境质量的空间分布特征。重点关注：</w:t>
      </w:r>
    </w:p>
    <w:p w14:paraId="3AD3ABE2">
      <w:pPr>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中心城区与外围山区之间的生态质量差异。</w:t>
      </w:r>
    </w:p>
    <w:p w14:paraId="675D1C30">
      <w:pPr>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闽江沿线、滨海新区、福清和长乐等快速开发区域的生态质量变化。</w:t>
      </w:r>
    </w:p>
    <w:p w14:paraId="7D4A6566">
      <w:pPr>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森林覆盖较高地区、自然保护地或生态红线附近的生态质量稳定性。</w:t>
      </w:r>
    </w:p>
    <w:bookmarkEnd w:id="11"/>
    <w:p w14:paraId="4757C93C">
      <w:pPr>
        <w:pStyle w:val="4"/>
        <w:bidi w:val="0"/>
        <w:rPr>
          <w:rFonts w:hint="eastAsia"/>
        </w:rPr>
      </w:pPr>
      <w:bookmarkStart w:id="12" w:name="生态环境质量变化与土地利用转移分析"/>
      <w:r>
        <w:rPr>
          <w:rFonts w:hint="eastAsia"/>
        </w:rPr>
        <w:t>生态环境质量变化与土地利用转移分析</w:t>
      </w:r>
    </w:p>
    <w:p w14:paraId="3F6BF506">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叠加土地利用数据，分析建设用地扩张、林地变化、水体变化与RSEI变化之间的关系。重点识别：</w:t>
      </w:r>
    </w:p>
    <w:p w14:paraId="1BDB31A6">
      <w:pPr>
        <w:keepNext w:val="0"/>
        <w:keepLines w:val="0"/>
        <w:pageBreakBefore w:val="0"/>
        <w:widowControl/>
        <w:numPr>
          <w:ilvl w:val="0"/>
          <w:numId w:val="11"/>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林地转为建设用地后RSEI是否下降。</w:t>
      </w:r>
    </w:p>
    <w:p w14:paraId="3AB91484">
      <w:pPr>
        <w:keepNext w:val="0"/>
        <w:keepLines w:val="0"/>
        <w:pageBreakBefore w:val="0"/>
        <w:widowControl/>
        <w:numPr>
          <w:ilvl w:val="0"/>
          <w:numId w:val="11"/>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裸地、建设用地和交通用地附近是否形成低RSEI斑块。</w:t>
      </w:r>
    </w:p>
    <w:p w14:paraId="6E7257B1">
      <w:pPr>
        <w:keepNext w:val="0"/>
        <w:keepLines w:val="0"/>
        <w:pageBreakBefore w:val="0"/>
        <w:widowControl/>
        <w:numPr>
          <w:ilvl w:val="0"/>
          <w:numId w:val="11"/>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城市更新、绿地建设或生态修复区域是否出现RSEI改善。</w:t>
      </w:r>
    </w:p>
    <w:bookmarkEnd w:id="12"/>
    <w:p w14:paraId="4A13E14A">
      <w:pPr>
        <w:pStyle w:val="4"/>
        <w:bidi w:val="0"/>
        <w:rPr>
          <w:rFonts w:hint="eastAsia"/>
        </w:rPr>
      </w:pPr>
      <w:bookmarkStart w:id="13" w:name="人类活动指标对rsei的影响分析"/>
      <w:r>
        <w:rPr>
          <w:rFonts w:hint="eastAsia"/>
        </w:rPr>
        <w:t>人类活动指标对RSEI的影响分析</w:t>
      </w:r>
    </w:p>
    <w:p w14:paraId="1BC2BA38">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42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选取夜间灯光强度、建设用地比例、道路密度等指标作为人类活动强度变量，通过格网统计或区县统计分析其与RSEI的关系。可采用以下方法：</w:t>
      </w:r>
    </w:p>
    <w:p w14:paraId="08A0C40F">
      <w:pPr>
        <w:keepNext w:val="0"/>
        <w:keepLines w:val="0"/>
        <w:pageBreakBefore w:val="0"/>
        <w:widowControl/>
        <w:numPr>
          <w:ilvl w:val="0"/>
          <w:numId w:val="12"/>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相关性分析：判断夜间灯光、建设用地比例、道路密度与RSEI之间的</w:t>
      </w:r>
      <w:r>
        <w:rPr>
          <w:rFonts w:hint="eastAsia" w:ascii="Times New Roman" w:hAnsi="Times New Roman" w:cs="宋体"/>
          <w:b w:val="0"/>
          <w:bCs/>
          <w:sz w:val="24"/>
          <w:szCs w:val="24"/>
          <w:lang w:val="en-US" w:eastAsia="zh-CN"/>
        </w:rPr>
        <w:t>正负</w:t>
      </w:r>
      <w:r>
        <w:rPr>
          <w:rFonts w:hint="eastAsia" w:ascii="Times New Roman" w:hAnsi="Times New Roman" w:eastAsia="宋体" w:cs="宋体"/>
          <w:b w:val="0"/>
          <w:bCs/>
          <w:sz w:val="24"/>
          <w:szCs w:val="24"/>
        </w:rPr>
        <w:t>关系。</w:t>
      </w:r>
    </w:p>
    <w:p w14:paraId="0DA31B4E">
      <w:pPr>
        <w:keepNext w:val="0"/>
        <w:keepLines w:val="0"/>
        <w:pageBreakBefore w:val="0"/>
        <w:widowControl/>
        <w:numPr>
          <w:ilvl w:val="0"/>
          <w:numId w:val="12"/>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分区统计：比较不同区县、</w:t>
      </w:r>
      <w:r>
        <w:rPr>
          <w:rFonts w:hint="eastAsia" w:ascii="Times New Roman" w:hAnsi="Times New Roman" w:cs="宋体"/>
          <w:b w:val="0"/>
          <w:bCs/>
          <w:sz w:val="24"/>
          <w:szCs w:val="24"/>
          <w:lang w:val="en-US" w:eastAsia="zh-CN"/>
        </w:rPr>
        <w:t>不同</w:t>
      </w:r>
      <w:r>
        <w:rPr>
          <w:rFonts w:hint="eastAsia" w:ascii="Times New Roman" w:hAnsi="Times New Roman" w:eastAsia="宋体" w:cs="宋体"/>
          <w:b w:val="0"/>
          <w:bCs/>
          <w:sz w:val="24"/>
          <w:szCs w:val="24"/>
        </w:rPr>
        <w:t>土地利用类型、</w:t>
      </w:r>
      <w:r>
        <w:rPr>
          <w:rFonts w:hint="eastAsia" w:ascii="Times New Roman" w:hAnsi="Times New Roman" w:cs="宋体"/>
          <w:b w:val="0"/>
          <w:bCs/>
          <w:sz w:val="24"/>
          <w:szCs w:val="24"/>
          <w:lang w:val="en-US" w:eastAsia="zh-CN"/>
        </w:rPr>
        <w:t>不同</w:t>
      </w:r>
      <w:r>
        <w:rPr>
          <w:rFonts w:hint="eastAsia" w:ascii="Times New Roman" w:hAnsi="Times New Roman" w:eastAsia="宋体" w:cs="宋体"/>
          <w:b w:val="0"/>
          <w:bCs/>
          <w:sz w:val="24"/>
          <w:szCs w:val="24"/>
        </w:rPr>
        <w:t>城市化强度分区的RSEI差异。</w:t>
      </w:r>
    </w:p>
    <w:p w14:paraId="705598AE">
      <w:pPr>
        <w:keepNext w:val="0"/>
        <w:keepLines w:val="0"/>
        <w:pageBreakBefore w:val="0"/>
        <w:widowControl/>
        <w:numPr>
          <w:ilvl w:val="0"/>
          <w:numId w:val="12"/>
        </w:numPr>
        <w:kinsoku/>
        <w:wordWrap/>
        <w:overflowPunct/>
        <w:topLinePunct w:val="0"/>
        <w:autoSpaceDE/>
        <w:autoSpaceDN/>
        <w:bidi w:val="0"/>
        <w:adjustRightInd/>
        <w:snapToGrid w:val="0"/>
        <w:spacing w:after="0" w:line="360" w:lineRule="auto"/>
        <w:ind w:left="0" w:leftChars="0" w:firstLine="480" w:firstLineChars="20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若技术和时间允许，</w:t>
      </w:r>
      <w:r>
        <w:rPr>
          <w:rFonts w:hint="eastAsia" w:ascii="Times New Roman" w:hAnsi="Times New Roman" w:cs="宋体"/>
          <w:b w:val="0"/>
          <w:bCs/>
          <w:sz w:val="24"/>
          <w:szCs w:val="24"/>
          <w:lang w:val="en-US" w:eastAsia="zh-CN"/>
        </w:rPr>
        <w:t>还可以</w:t>
      </w:r>
      <w:r>
        <w:rPr>
          <w:rFonts w:hint="eastAsia" w:ascii="Times New Roman" w:hAnsi="Times New Roman" w:eastAsia="宋体" w:cs="宋体"/>
          <w:b w:val="0"/>
          <w:bCs/>
          <w:sz w:val="24"/>
          <w:szCs w:val="24"/>
        </w:rPr>
        <w:t>尝试</w:t>
      </w:r>
      <w:r>
        <w:rPr>
          <w:rFonts w:hint="eastAsia" w:ascii="Times New Roman" w:hAnsi="Times New Roman" w:cs="宋体"/>
          <w:b w:val="0"/>
          <w:bCs/>
          <w:sz w:val="24"/>
          <w:szCs w:val="24"/>
          <w:lang w:val="en-US" w:eastAsia="zh-CN"/>
        </w:rPr>
        <w:t>使用</w:t>
      </w:r>
      <w:r>
        <w:rPr>
          <w:rFonts w:hint="eastAsia" w:ascii="Times New Roman" w:hAnsi="Times New Roman" w:eastAsia="宋体" w:cs="宋体"/>
          <w:b w:val="0"/>
          <w:bCs/>
          <w:sz w:val="24"/>
          <w:szCs w:val="24"/>
        </w:rPr>
        <w:t>地理探测器或地理加权回归（GWR）</w:t>
      </w:r>
      <w:r>
        <w:rPr>
          <w:rFonts w:hint="eastAsia" w:ascii="Times New Roman" w:hAnsi="Times New Roman" w:cs="宋体"/>
          <w:b w:val="0"/>
          <w:bCs/>
          <w:sz w:val="24"/>
          <w:szCs w:val="24"/>
          <w:lang w:val="en-US" w:eastAsia="zh-CN"/>
        </w:rPr>
        <w:t>来</w:t>
      </w:r>
      <w:r>
        <w:rPr>
          <w:rFonts w:hint="eastAsia" w:ascii="Times New Roman" w:hAnsi="Times New Roman" w:eastAsia="宋体" w:cs="宋体"/>
          <w:b w:val="0"/>
          <w:bCs/>
          <w:sz w:val="24"/>
          <w:szCs w:val="24"/>
        </w:rPr>
        <w:t>分析人类活动因子的空间异质性。</w:t>
      </w:r>
    </w:p>
    <w:p w14:paraId="45449538">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br w:type="page"/>
      </w:r>
    </w:p>
    <w:bookmarkEnd w:id="9"/>
    <w:bookmarkEnd w:id="13"/>
    <w:p w14:paraId="69E2E845">
      <w:pPr>
        <w:pStyle w:val="4"/>
        <w:numPr>
          <w:ilvl w:val="0"/>
          <w:numId w:val="2"/>
        </w:numPr>
        <w:bidi w:val="0"/>
        <w:ind w:left="0" w:leftChars="0" w:firstLine="0" w:firstLineChars="0"/>
      </w:pPr>
      <w:bookmarkStart w:id="14" w:name="七主要技术流程图"/>
      <w:r>
        <w:rPr>
          <w:rFonts w:hint="eastAsia"/>
        </w:rPr>
        <w:t>主要技术流程图</w:t>
      </w:r>
    </w:p>
    <w:p w14:paraId="1DEF0BE9">
      <w:pPr>
        <w:pStyle w:val="122"/>
        <w:pageBreakBefore w:val="0"/>
        <w:widowControl/>
        <w:kinsoku/>
        <w:wordWrap/>
        <w:overflowPunct/>
        <w:topLinePunct w:val="0"/>
        <w:autoSpaceDE/>
        <w:autoSpaceDN/>
        <w:bidi w:val="0"/>
        <w:adjustRightInd/>
        <w:snapToGrid w:val="0"/>
        <w:spacing w:after="0" w:line="360" w:lineRule="auto"/>
        <w:ind w:firstLine="480" w:firstLineChars="200"/>
        <w:jc w:val="center"/>
        <w:textAlignment w:val="auto"/>
        <w:rPr>
          <w:rFonts w:ascii="Times New Roman" w:hAnsi="Times New Roman" w:eastAsia="宋体"/>
        </w:rPr>
      </w:pPr>
      <w:r>
        <w:rPr>
          <w:rFonts w:ascii="Times New Roman" w:hAnsi="Times New Roman" w:eastAsia="宋体"/>
        </w:rPr>
        <w:drawing>
          <wp:inline distT="0" distB="0" distL="114300" distR="114300">
            <wp:extent cx="4666615" cy="5964555"/>
            <wp:effectExtent l="0" t="0" r="635" b="17145"/>
            <wp:docPr id="35" name="Picture" descr="主要技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主要技术流程图"/>
                    <pic:cNvPicPr>
                      <a:picLocks noChangeAspect="1" noChangeArrowheads="1"/>
                    </pic:cNvPicPr>
                  </pic:nvPicPr>
                  <pic:blipFill>
                    <a:blip r:embed="rId7"/>
                    <a:stretch>
                      <a:fillRect/>
                    </a:stretch>
                  </pic:blipFill>
                  <pic:spPr>
                    <a:xfrm>
                      <a:off x="0" y="0"/>
                      <a:ext cx="4666615" cy="5964555"/>
                    </a:xfrm>
                    <a:prstGeom prst="rect">
                      <a:avLst/>
                    </a:prstGeom>
                    <a:noFill/>
                    <a:ln w="9525">
                      <a:noFill/>
                    </a:ln>
                  </pic:spPr>
                </pic:pic>
              </a:graphicData>
            </a:graphic>
          </wp:inline>
        </w:drawing>
      </w:r>
    </w:p>
    <w:p w14:paraId="6C051BDD">
      <w:pPr>
        <w:pStyle w:val="120"/>
        <w:pageBreakBefore w:val="0"/>
        <w:widowControl/>
        <w:kinsoku/>
        <w:wordWrap/>
        <w:overflowPunct/>
        <w:topLinePunct w:val="0"/>
        <w:autoSpaceDE/>
        <w:autoSpaceDN/>
        <w:bidi w:val="0"/>
        <w:adjustRightInd/>
        <w:snapToGrid w:val="0"/>
        <w:spacing w:before="0" w:after="0" w:line="360" w:lineRule="auto"/>
        <w:ind w:firstLine="400" w:firstLineChars="200"/>
        <w:jc w:val="center"/>
        <w:textAlignment w:val="auto"/>
        <w:rPr>
          <w:rFonts w:hint="eastAsia" w:ascii="Times New Roman" w:hAnsi="Times New Roman" w:eastAsia="宋体"/>
          <w:i w:val="0"/>
          <w:iCs/>
        </w:rPr>
      </w:pPr>
      <w:r>
        <w:rPr>
          <w:rFonts w:hint="eastAsia" w:ascii="Times New Roman" w:hAnsi="Times New Roman" w:eastAsia="宋体"/>
          <w:i w:val="0"/>
          <w:iCs/>
          <w:lang w:val="en-US" w:eastAsia="zh-CN"/>
        </w:rPr>
        <w:t xml:space="preserve">图1 </w:t>
      </w:r>
      <w:r>
        <w:rPr>
          <w:rFonts w:hint="eastAsia" w:ascii="Times New Roman" w:hAnsi="Times New Roman" w:eastAsia="宋体"/>
          <w:i w:val="0"/>
          <w:iCs/>
        </w:rPr>
        <w:t>主要技术流程图</w:t>
      </w:r>
    </w:p>
    <w:p w14:paraId="4C8D1FC7">
      <w:pPr>
        <w:pStyle w:val="120"/>
        <w:pageBreakBefore w:val="0"/>
        <w:widowControl/>
        <w:kinsoku/>
        <w:wordWrap/>
        <w:overflowPunct/>
        <w:topLinePunct w:val="0"/>
        <w:autoSpaceDE/>
        <w:autoSpaceDN/>
        <w:bidi w:val="0"/>
        <w:adjustRightInd/>
        <w:snapToGrid w:val="0"/>
        <w:spacing w:before="0" w:after="0" w:line="360" w:lineRule="auto"/>
        <w:jc w:val="both"/>
        <w:textAlignment w:val="auto"/>
        <w:rPr>
          <w:rFonts w:hint="eastAsia" w:ascii="Times New Roman" w:hAnsi="Times New Roman" w:eastAsia="宋体"/>
          <w:i w:val="0"/>
          <w:iCs/>
        </w:rPr>
      </w:pPr>
    </w:p>
    <w:bookmarkEnd w:id="14"/>
    <w:p w14:paraId="574A3C2B">
      <w:pPr>
        <w:pStyle w:val="4"/>
        <w:numPr>
          <w:ilvl w:val="0"/>
          <w:numId w:val="2"/>
        </w:numPr>
        <w:bidi w:val="0"/>
        <w:ind w:left="0" w:leftChars="0" w:firstLine="0" w:firstLineChars="0"/>
      </w:pPr>
      <w:bookmarkStart w:id="15" w:name="八可能存在的困难"/>
      <w:r>
        <w:rPr>
          <w:rFonts w:hint="eastAsia"/>
        </w:rPr>
        <w:t>可能存在的困难</w:t>
      </w:r>
    </w:p>
    <w:p w14:paraId="433E8B12">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16" w:name="福州多云多雨导致遥感影像质量受限"/>
      <w:r>
        <w:rPr>
          <w:rFonts w:hint="eastAsia" w:ascii="Times New Roman" w:hAnsi="Times New Roman" w:eastAsia="宋体" w:cs="宋体"/>
          <w:b w:val="0"/>
          <w:bCs w:val="0"/>
          <w:color w:val="auto"/>
          <w:sz w:val="24"/>
          <w:szCs w:val="24"/>
        </w:rPr>
        <w:t>福州多云多雨导致遥感影像质量受限</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福州位于东南沿海</w:t>
      </w:r>
      <w:r>
        <w:rPr>
          <w:rFonts w:hint="eastAsia" w:ascii="Times New Roman" w:hAnsi="Times New Roman" w:eastAsia="宋体" w:cs="宋体"/>
          <w:b w:val="0"/>
          <w:bCs w:val="0"/>
          <w:color w:val="auto"/>
          <w:sz w:val="24"/>
          <w:szCs w:val="24"/>
          <w:lang w:val="en-US" w:eastAsia="zh-CN"/>
        </w:rPr>
        <w:t>地区</w:t>
      </w:r>
      <w:r>
        <w:rPr>
          <w:rFonts w:hint="eastAsia" w:ascii="Times New Roman" w:hAnsi="Times New Roman" w:eastAsia="宋体" w:cs="宋体"/>
          <w:b w:val="0"/>
          <w:bCs w:val="0"/>
          <w:color w:val="auto"/>
          <w:sz w:val="24"/>
          <w:szCs w:val="24"/>
        </w:rPr>
        <w:t>，夏季云量较多，Landsat影像可能存在云、云影和影像缺失，影响RSEI计算精度。</w:t>
      </w:r>
    </w:p>
    <w:bookmarkEnd w:id="16"/>
    <w:p w14:paraId="0E0BF6DC">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17" w:name="不同年份和不同传感器之间存在可比性问题"/>
      <w:r>
        <w:rPr>
          <w:rFonts w:hint="eastAsia" w:ascii="Times New Roman" w:hAnsi="Times New Roman" w:eastAsia="宋体" w:cs="宋体"/>
          <w:b w:val="0"/>
          <w:bCs w:val="0"/>
          <w:color w:val="auto"/>
          <w:sz w:val="24"/>
          <w:szCs w:val="24"/>
        </w:rPr>
        <w:t>不同年份和不同传感器之间存在可比性问题</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研究可能涉及Landsat 5、Landsat 7、Landsat 8和Landsat 9</w:t>
      </w:r>
      <w:r>
        <w:rPr>
          <w:rFonts w:hint="eastAsia" w:ascii="Times New Roman" w:hAnsi="Times New Roman" w:eastAsia="宋体" w:cs="宋体"/>
          <w:b w:val="0"/>
          <w:bCs w:val="0"/>
          <w:color w:val="auto"/>
          <w:sz w:val="24"/>
          <w:szCs w:val="24"/>
          <w:lang w:val="en-US" w:eastAsia="zh-CN"/>
        </w:rPr>
        <w:t>等多种传感器类型</w:t>
      </w:r>
      <w:r>
        <w:rPr>
          <w:rFonts w:hint="eastAsia" w:ascii="Times New Roman" w:hAnsi="Times New Roman" w:eastAsia="宋体" w:cs="宋体"/>
          <w:b w:val="0"/>
          <w:bCs w:val="0"/>
          <w:color w:val="auto"/>
          <w:sz w:val="24"/>
          <w:szCs w:val="24"/>
        </w:rPr>
        <w:t>，不同传感器波段设置、辐射特征和热红外反演方式存在差异，可能影响多期RSEI结果的可比性。</w:t>
      </w:r>
    </w:p>
    <w:bookmarkEnd w:id="17"/>
    <w:p w14:paraId="421E8A78">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18" w:name="pca结果可能受背景值和异常值影响"/>
      <w:r>
        <w:rPr>
          <w:rFonts w:hint="eastAsia" w:ascii="Times New Roman" w:hAnsi="Times New Roman" w:eastAsia="宋体" w:cs="宋体"/>
          <w:b w:val="0"/>
          <w:bCs w:val="0"/>
          <w:color w:val="auto"/>
          <w:sz w:val="24"/>
          <w:szCs w:val="24"/>
        </w:rPr>
        <w:t>PCA结果可能受背景值和异常值影响</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如果云、云影、水体、研究区外背景值或极端像元参与归一化和PCA计算，可能导致PC1贡献率、载荷方向和RSEI空间分布出现异常，影响生态质量等级划分结果。</w:t>
      </w:r>
    </w:p>
    <w:bookmarkEnd w:id="18"/>
    <w:p w14:paraId="5127DFA4">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19" w:name="夜间灯光数据跨传感器衔接较难"/>
      <w:r>
        <w:rPr>
          <w:rFonts w:hint="eastAsia" w:ascii="Times New Roman" w:hAnsi="Times New Roman" w:eastAsia="宋体" w:cs="宋体"/>
          <w:b w:val="0"/>
          <w:bCs w:val="0"/>
          <w:color w:val="auto"/>
          <w:sz w:val="24"/>
          <w:szCs w:val="24"/>
        </w:rPr>
        <w:t>夜间灯光数据跨传感器衔接较难</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lang w:val="en-US" w:eastAsia="zh-CN"/>
        </w:rPr>
        <w:t>夜间灯光数据的采集传感器在</w:t>
      </w:r>
      <w:r>
        <w:rPr>
          <w:rFonts w:hint="eastAsia" w:ascii="Times New Roman" w:hAnsi="Times New Roman" w:eastAsia="宋体" w:cs="宋体"/>
          <w:b w:val="0"/>
          <w:bCs w:val="0"/>
          <w:color w:val="auto"/>
          <w:sz w:val="24"/>
          <w:szCs w:val="24"/>
        </w:rPr>
        <w:t>2000年前后常用DMSP/OLS，</w:t>
      </w:r>
      <w:r>
        <w:rPr>
          <w:rFonts w:hint="eastAsia" w:ascii="Times New Roman" w:hAnsi="Times New Roman" w:eastAsia="宋体" w:cs="宋体"/>
          <w:b w:val="0"/>
          <w:bCs w:val="0"/>
          <w:color w:val="auto"/>
          <w:sz w:val="24"/>
          <w:szCs w:val="24"/>
          <w:lang w:val="en-US" w:eastAsia="zh-CN"/>
        </w:rPr>
        <w:t>但在</w:t>
      </w:r>
      <w:r>
        <w:rPr>
          <w:rFonts w:hint="eastAsia" w:ascii="Times New Roman" w:hAnsi="Times New Roman" w:eastAsia="宋体" w:cs="宋体"/>
          <w:b w:val="0"/>
          <w:bCs w:val="0"/>
          <w:color w:val="auto"/>
          <w:sz w:val="24"/>
          <w:szCs w:val="24"/>
        </w:rPr>
        <w:t>2012年后常用NPP-VIIRS，两类夜间灯光数据</w:t>
      </w:r>
      <w:r>
        <w:rPr>
          <w:rFonts w:hint="eastAsia" w:ascii="Times New Roman" w:hAnsi="Times New Roman" w:eastAsia="宋体" w:cs="宋体"/>
          <w:b w:val="0"/>
          <w:bCs w:val="0"/>
          <w:color w:val="auto"/>
          <w:sz w:val="24"/>
          <w:szCs w:val="24"/>
          <w:lang w:val="en-US" w:eastAsia="zh-CN"/>
        </w:rPr>
        <w:t>的</w:t>
      </w:r>
      <w:r>
        <w:rPr>
          <w:rFonts w:hint="eastAsia" w:ascii="Times New Roman" w:hAnsi="Times New Roman" w:eastAsia="宋体" w:cs="宋体"/>
          <w:b w:val="0"/>
          <w:bCs w:val="0"/>
          <w:color w:val="auto"/>
          <w:sz w:val="24"/>
          <w:szCs w:val="24"/>
        </w:rPr>
        <w:t>空间分辨率、辐射范围和饱和程度不同，直接比较</w:t>
      </w:r>
      <w:r>
        <w:rPr>
          <w:rFonts w:hint="eastAsia" w:ascii="Times New Roman" w:hAnsi="Times New Roman" w:eastAsia="宋体" w:cs="宋体"/>
          <w:b w:val="0"/>
          <w:bCs w:val="0"/>
          <w:color w:val="auto"/>
          <w:sz w:val="24"/>
          <w:szCs w:val="24"/>
          <w:lang w:val="en-US" w:eastAsia="zh-CN"/>
        </w:rPr>
        <w:t>会</w:t>
      </w:r>
      <w:r>
        <w:rPr>
          <w:rFonts w:hint="eastAsia" w:ascii="Times New Roman" w:hAnsi="Times New Roman" w:eastAsia="宋体" w:cs="宋体"/>
          <w:b w:val="0"/>
          <w:bCs w:val="0"/>
          <w:color w:val="auto"/>
          <w:sz w:val="24"/>
          <w:szCs w:val="24"/>
        </w:rPr>
        <w:t>存在误差。</w:t>
      </w:r>
    </w:p>
    <w:bookmarkEnd w:id="19"/>
    <w:p w14:paraId="1B9E5A74">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0" w:name="人类活动对生态质量的影响具有复杂性"/>
      <w:r>
        <w:rPr>
          <w:rFonts w:hint="eastAsia" w:ascii="Times New Roman" w:hAnsi="Times New Roman" w:eastAsia="宋体" w:cs="宋体"/>
          <w:b w:val="0"/>
          <w:bCs w:val="0"/>
          <w:color w:val="auto"/>
          <w:sz w:val="24"/>
          <w:szCs w:val="24"/>
        </w:rPr>
        <w:t>人类活动对生态质量的影响具有复杂性</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RSEI变化不仅受城市建设影响，也受气候、地形、季节、生态修复政策和土地管理方式影响。仅用相关性分析</w:t>
      </w:r>
      <w:r>
        <w:rPr>
          <w:rFonts w:hint="eastAsia" w:ascii="Times New Roman" w:hAnsi="Times New Roman" w:eastAsia="宋体" w:cs="宋体"/>
          <w:b w:val="0"/>
          <w:bCs w:val="0"/>
          <w:color w:val="auto"/>
          <w:sz w:val="24"/>
          <w:szCs w:val="24"/>
          <w:lang w:val="en-US" w:eastAsia="zh-CN"/>
        </w:rPr>
        <w:t>存在</w:t>
      </w:r>
      <w:r>
        <w:rPr>
          <w:rFonts w:hint="eastAsia" w:ascii="Times New Roman" w:hAnsi="Times New Roman" w:eastAsia="宋体" w:cs="宋体"/>
          <w:b w:val="0"/>
          <w:bCs w:val="0"/>
          <w:color w:val="auto"/>
          <w:sz w:val="24"/>
          <w:szCs w:val="24"/>
        </w:rPr>
        <w:t>难以完全证明</w:t>
      </w:r>
      <w:r>
        <w:rPr>
          <w:rFonts w:hint="eastAsia" w:ascii="Times New Roman" w:hAnsi="Times New Roman" w:eastAsia="宋体" w:cs="宋体"/>
          <w:b w:val="0"/>
          <w:bCs w:val="0"/>
          <w:color w:val="auto"/>
          <w:sz w:val="24"/>
          <w:szCs w:val="24"/>
          <w:lang w:val="en-US" w:eastAsia="zh-CN"/>
        </w:rPr>
        <w:t>其</w:t>
      </w:r>
      <w:r>
        <w:rPr>
          <w:rFonts w:hint="eastAsia" w:ascii="Times New Roman" w:hAnsi="Times New Roman" w:eastAsia="宋体" w:cs="宋体"/>
          <w:b w:val="0"/>
          <w:bCs w:val="0"/>
          <w:color w:val="auto"/>
          <w:sz w:val="24"/>
          <w:szCs w:val="24"/>
        </w:rPr>
        <w:t>因果关系</w:t>
      </w:r>
      <w:r>
        <w:rPr>
          <w:rFonts w:hint="eastAsia" w:ascii="Times New Roman" w:hAnsi="Times New Roman" w:eastAsia="宋体" w:cs="宋体"/>
          <w:b w:val="0"/>
          <w:bCs w:val="0"/>
          <w:color w:val="auto"/>
          <w:sz w:val="24"/>
          <w:szCs w:val="24"/>
          <w:lang w:val="en-US" w:eastAsia="zh-CN"/>
        </w:rPr>
        <w:t>的可能性</w:t>
      </w:r>
      <w:r>
        <w:rPr>
          <w:rFonts w:hint="eastAsia" w:ascii="Times New Roman" w:hAnsi="Times New Roman" w:eastAsia="宋体" w:cs="宋体"/>
          <w:b w:val="0"/>
          <w:bCs w:val="0"/>
          <w:color w:val="auto"/>
          <w:sz w:val="24"/>
          <w:szCs w:val="24"/>
        </w:rPr>
        <w:t>。</w:t>
      </w:r>
    </w:p>
    <w:bookmarkEnd w:id="20"/>
    <w:p w14:paraId="5707CCDC">
      <w:pPr>
        <w:pStyle w:val="5"/>
        <w:pageBreakBefore w:val="0"/>
        <w:widowControl/>
        <w:numPr>
          <w:ilvl w:val="0"/>
          <w:numId w:val="13"/>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1" w:name="数据获取和处理工作量较大"/>
      <w:r>
        <w:rPr>
          <w:rFonts w:hint="eastAsia" w:ascii="Times New Roman" w:hAnsi="Times New Roman" w:eastAsia="宋体" w:cs="宋体"/>
          <w:b w:val="0"/>
          <w:bCs w:val="0"/>
          <w:color w:val="auto"/>
          <w:sz w:val="24"/>
          <w:szCs w:val="24"/>
        </w:rPr>
        <w:t>数据获取和处理工作量较大</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若使用多个年份、多个指标和多个辅助变量，数据预处理、投影统一、空间分辨率统一、统计分析和制图工作量较大。</w:t>
      </w:r>
    </w:p>
    <w:p w14:paraId="498B01E1">
      <w:pPr>
        <w:ind w:left="0" w:leftChars="0" w:firstLine="0" w:firstLineChars="0"/>
        <w:rPr>
          <w:rFonts w:hint="eastAsia"/>
        </w:rPr>
      </w:pPr>
    </w:p>
    <w:bookmarkEnd w:id="15"/>
    <w:bookmarkEnd w:id="21"/>
    <w:p w14:paraId="740F23F2">
      <w:pPr>
        <w:pStyle w:val="4"/>
        <w:numPr>
          <w:ilvl w:val="0"/>
          <w:numId w:val="2"/>
        </w:numPr>
        <w:bidi w:val="0"/>
        <w:ind w:left="0" w:leftChars="0" w:firstLine="0" w:firstLineChars="0"/>
      </w:pPr>
      <w:bookmarkStart w:id="22" w:name="九拟解决的办法"/>
      <w:r>
        <w:rPr>
          <w:rFonts w:hint="eastAsia"/>
        </w:rPr>
        <w:t>拟解决的办法</w:t>
      </w:r>
    </w:p>
    <w:p w14:paraId="579625AE">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3" w:name="使用gee提高影像筛选和处理效率"/>
      <w:r>
        <w:rPr>
          <w:rFonts w:hint="eastAsia" w:ascii="Times New Roman" w:hAnsi="Times New Roman" w:eastAsia="宋体" w:cs="宋体"/>
          <w:b w:val="0"/>
          <w:bCs w:val="0"/>
          <w:color w:val="auto"/>
          <w:sz w:val="24"/>
          <w:szCs w:val="24"/>
        </w:rPr>
        <w:t>使用GEE提高影像筛选和处理效率</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利用GEE平台批量筛选福州市无云或低云量Landsat影像，采用年度或生长季中值合成</w:t>
      </w:r>
      <w:r>
        <w:rPr>
          <w:rFonts w:hint="eastAsia" w:ascii="Times New Roman" w:hAnsi="Times New Roman" w:eastAsia="宋体" w:cs="宋体"/>
          <w:b w:val="0"/>
          <w:bCs w:val="0"/>
          <w:color w:val="auto"/>
          <w:sz w:val="24"/>
          <w:szCs w:val="24"/>
          <w:lang w:val="en-US" w:eastAsia="zh-CN"/>
        </w:rPr>
        <w:t>的</w:t>
      </w:r>
      <w:r>
        <w:rPr>
          <w:rFonts w:hint="eastAsia" w:ascii="Times New Roman" w:hAnsi="Times New Roman" w:eastAsia="宋体" w:cs="宋体"/>
          <w:b w:val="0"/>
          <w:bCs w:val="0"/>
          <w:color w:val="auto"/>
          <w:sz w:val="24"/>
          <w:szCs w:val="24"/>
        </w:rPr>
        <w:t>方法</w:t>
      </w:r>
      <w:r>
        <w:rPr>
          <w:rFonts w:hint="eastAsia" w:ascii="Times New Roman" w:hAnsi="Times New Roman" w:eastAsia="宋体" w:cs="宋体"/>
          <w:b w:val="0"/>
          <w:bCs w:val="0"/>
          <w:color w:val="auto"/>
          <w:sz w:val="24"/>
          <w:szCs w:val="24"/>
          <w:lang w:val="en-US" w:eastAsia="zh-CN"/>
        </w:rPr>
        <w:t>来</w:t>
      </w:r>
      <w:r>
        <w:rPr>
          <w:rFonts w:hint="eastAsia" w:ascii="Times New Roman" w:hAnsi="Times New Roman" w:eastAsia="宋体" w:cs="宋体"/>
          <w:b w:val="0"/>
          <w:bCs w:val="0"/>
          <w:color w:val="auto"/>
          <w:sz w:val="24"/>
          <w:szCs w:val="24"/>
        </w:rPr>
        <w:t>减少云影响。优先选择每年5月至10月植被生长季影像，以提高NDVI和WET指标稳定性。</w:t>
      </w:r>
    </w:p>
    <w:bookmarkEnd w:id="23"/>
    <w:p w14:paraId="2111E927">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4" w:name="统一数据预处理标准"/>
      <w:r>
        <w:rPr>
          <w:rFonts w:hint="eastAsia" w:ascii="Times New Roman" w:hAnsi="Times New Roman" w:eastAsia="宋体" w:cs="宋体"/>
          <w:b w:val="0"/>
          <w:bCs w:val="0"/>
          <w:color w:val="auto"/>
          <w:sz w:val="24"/>
          <w:szCs w:val="24"/>
        </w:rPr>
        <w:t>统一数据预处理标准</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所有影像统一使用地表反射率产品，统一坐标系、空间分辨率和研究区边界。各年份RSEI计算采用一致的指标公式和归一化方法，减少人为处理差异。</w:t>
      </w:r>
    </w:p>
    <w:bookmarkEnd w:id="24"/>
    <w:p w14:paraId="336FBE71">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5" w:name="加强掩膜异常值和pca方向检查"/>
      <w:r>
        <w:rPr>
          <w:rFonts w:hint="eastAsia" w:ascii="Times New Roman" w:hAnsi="Times New Roman" w:eastAsia="宋体" w:cs="宋体"/>
          <w:b w:val="0"/>
          <w:bCs w:val="0"/>
          <w:color w:val="auto"/>
          <w:sz w:val="24"/>
          <w:szCs w:val="24"/>
        </w:rPr>
        <w:t>加强掩膜、异常值和PCA方向检查</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在归一化和PCA前统一处理NoData背景值，必要时进行云、云影、水体掩膜和异常值截断。PCA完成后检查PC1贡献率和4个生态因子载荷方向，确认绿度、湿度与干度、热度的生态意义一致后再构建RSEI。</w:t>
      </w:r>
    </w:p>
    <w:bookmarkEnd w:id="25"/>
    <w:p w14:paraId="5F2E569C">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6" w:name="简化人类活动指标体系"/>
      <w:r>
        <w:rPr>
          <w:rFonts w:hint="eastAsia" w:ascii="Times New Roman" w:hAnsi="Times New Roman" w:eastAsia="宋体" w:cs="宋体"/>
          <w:b w:val="0"/>
          <w:bCs w:val="0"/>
          <w:color w:val="auto"/>
          <w:sz w:val="24"/>
          <w:szCs w:val="24"/>
        </w:rPr>
        <w:t>简化人类活动指标体系</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为保证研究可完成性，人类活动指标优先选择3类：夜间灯光强度、建设用地比例和道路密度。若夜间灯光跨传感器处理困难，可重点采用2020年和2024年VIIRS数据进行横向空间分析，而不强行进行长时间序列比较。</w:t>
      </w:r>
    </w:p>
    <w:bookmarkEnd w:id="26"/>
    <w:p w14:paraId="203EA97B">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7" w:name="采用分层解释而非过度因果推断"/>
      <w:r>
        <w:rPr>
          <w:rFonts w:hint="eastAsia" w:ascii="Times New Roman" w:hAnsi="Times New Roman" w:eastAsia="宋体" w:cs="宋体"/>
          <w:b w:val="0"/>
          <w:bCs w:val="0"/>
          <w:color w:val="auto"/>
          <w:sz w:val="24"/>
          <w:szCs w:val="24"/>
        </w:rPr>
        <w:t>采用分层解释而非过度因果推断</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将研究定位为“生态环境质量评价与影响因素解释”，不将相关性结果简单表述为严格因果关系。对RSEI变化原因的解释结合土地利用变化、城市规划背景和统计年鉴资料进行综合判断。</w:t>
      </w:r>
    </w:p>
    <w:bookmarkEnd w:id="27"/>
    <w:p w14:paraId="2C205A95">
      <w:pPr>
        <w:pStyle w:val="5"/>
        <w:pageBreakBefore w:val="0"/>
        <w:widowControl/>
        <w:numPr>
          <w:ilvl w:val="0"/>
          <w:numId w:val="14"/>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28" w:name="控制研究尺度和工作量"/>
      <w:r>
        <w:rPr>
          <w:rFonts w:hint="eastAsia" w:ascii="Times New Roman" w:hAnsi="Times New Roman" w:eastAsia="宋体" w:cs="宋体"/>
          <w:b w:val="0"/>
          <w:bCs w:val="0"/>
          <w:color w:val="auto"/>
          <w:sz w:val="24"/>
          <w:szCs w:val="24"/>
        </w:rPr>
        <w:t>控制研究尺度和工作量</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本科毕业论文模拟阶段以区县尺度、1 km格网尺度或典型样区尺度开展统计分析即可。制图重点包括RSEI空间分布图、RSEI变化图、生态质量等级转移图、夜间灯光与RSEI叠加图和建设用地扩张图。</w:t>
      </w:r>
    </w:p>
    <w:p w14:paraId="56D2DE63">
      <w:pPr>
        <w:ind w:left="0" w:leftChars="0" w:firstLine="0" w:firstLineChars="0"/>
        <w:rPr>
          <w:rFonts w:hint="eastAsia"/>
        </w:rPr>
      </w:pPr>
    </w:p>
    <w:bookmarkEnd w:id="22"/>
    <w:bookmarkEnd w:id="28"/>
    <w:p w14:paraId="6F4F0412">
      <w:pPr>
        <w:pStyle w:val="4"/>
        <w:numPr>
          <w:ilvl w:val="0"/>
          <w:numId w:val="2"/>
        </w:numPr>
        <w:bidi w:val="0"/>
        <w:ind w:left="0" w:leftChars="0" w:firstLine="0" w:firstLineChars="0"/>
      </w:pPr>
      <w:bookmarkStart w:id="29" w:name="十研究特色和创新点"/>
      <w:r>
        <w:rPr>
          <w:rFonts w:hint="eastAsia"/>
        </w:rPr>
        <w:t>研究特色和创新点</w:t>
      </w:r>
    </w:p>
    <w:p w14:paraId="744EC015">
      <w:pPr>
        <w:pStyle w:val="5"/>
        <w:pageBreakBefore w:val="0"/>
        <w:widowControl/>
        <w:numPr>
          <w:ilvl w:val="0"/>
          <w:numId w:val="15"/>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30" w:name="研究区具有典型山水城市特征"/>
      <w:r>
        <w:rPr>
          <w:rFonts w:hint="eastAsia" w:ascii="Times New Roman" w:hAnsi="Times New Roman" w:eastAsia="宋体" w:cs="宋体"/>
          <w:b w:val="0"/>
          <w:bCs w:val="0"/>
          <w:color w:val="auto"/>
          <w:sz w:val="24"/>
          <w:szCs w:val="24"/>
        </w:rPr>
        <w:t>研究区具有典型山水城市特征</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福州市兼具山地、河流、沿海平原和中心城区，生态空间与建设空间交错明显。以福州为研究区，可以体现东南沿海</w:t>
      </w:r>
      <w:r>
        <w:rPr>
          <w:rFonts w:hint="eastAsia" w:ascii="Times New Roman" w:hAnsi="Times New Roman" w:eastAsia="宋体" w:cs="宋体"/>
          <w:b w:val="0"/>
          <w:bCs w:val="0"/>
          <w:color w:val="auto"/>
          <w:sz w:val="24"/>
          <w:szCs w:val="24"/>
          <w:lang w:val="en-US" w:eastAsia="zh-CN"/>
        </w:rPr>
        <w:t>的</w:t>
      </w:r>
      <w:r>
        <w:rPr>
          <w:rFonts w:hint="eastAsia" w:ascii="Times New Roman" w:hAnsi="Times New Roman" w:eastAsia="宋体" w:cs="宋体"/>
          <w:b w:val="0"/>
          <w:bCs w:val="0"/>
          <w:color w:val="auto"/>
          <w:sz w:val="24"/>
          <w:szCs w:val="24"/>
        </w:rPr>
        <w:t>山水城市在快速城市化背景下的生态环境质量变化特征。</w:t>
      </w:r>
    </w:p>
    <w:bookmarkEnd w:id="30"/>
    <w:p w14:paraId="155909A9">
      <w:pPr>
        <w:pStyle w:val="5"/>
        <w:pageBreakBefore w:val="0"/>
        <w:widowControl/>
        <w:numPr>
          <w:ilvl w:val="0"/>
          <w:numId w:val="15"/>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color w:val="auto"/>
          <w:sz w:val="24"/>
          <w:szCs w:val="24"/>
        </w:rPr>
      </w:pPr>
      <w:bookmarkStart w:id="31" w:name="将rsei与人文社科变量结合"/>
      <w:r>
        <w:rPr>
          <w:rFonts w:hint="eastAsia" w:ascii="Times New Roman" w:hAnsi="Times New Roman" w:eastAsia="宋体" w:cs="宋体"/>
          <w:b w:val="0"/>
          <w:bCs w:val="0"/>
          <w:color w:val="auto"/>
          <w:sz w:val="24"/>
          <w:szCs w:val="24"/>
        </w:rPr>
        <w:t>将RSEI与人文社科变量结合</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本研究不仅计算</w:t>
      </w:r>
      <w:r>
        <w:rPr>
          <w:rFonts w:hint="eastAsia" w:ascii="Times New Roman" w:hAnsi="Times New Roman" w:eastAsia="宋体" w:cs="宋体"/>
          <w:b w:val="0"/>
          <w:bCs w:val="0"/>
          <w:color w:val="auto"/>
          <w:sz w:val="24"/>
          <w:szCs w:val="24"/>
          <w:lang w:val="en-US" w:eastAsia="zh-CN"/>
        </w:rPr>
        <w:t>了</w:t>
      </w:r>
      <w:r>
        <w:rPr>
          <w:rFonts w:hint="eastAsia" w:ascii="Times New Roman" w:hAnsi="Times New Roman" w:eastAsia="宋体" w:cs="宋体"/>
          <w:b w:val="0"/>
          <w:bCs w:val="0"/>
          <w:color w:val="auto"/>
          <w:sz w:val="24"/>
          <w:szCs w:val="24"/>
        </w:rPr>
        <w:t>遥感生态指数，还引入</w:t>
      </w:r>
      <w:r>
        <w:rPr>
          <w:rFonts w:hint="eastAsia" w:ascii="Times New Roman" w:hAnsi="Times New Roman" w:eastAsia="宋体" w:cs="宋体"/>
          <w:b w:val="0"/>
          <w:bCs w:val="0"/>
          <w:color w:val="auto"/>
          <w:sz w:val="24"/>
          <w:szCs w:val="24"/>
          <w:lang w:val="en-US" w:eastAsia="zh-CN"/>
        </w:rPr>
        <w:t>了</w:t>
      </w:r>
      <w:r>
        <w:rPr>
          <w:rFonts w:hint="eastAsia" w:ascii="Times New Roman" w:hAnsi="Times New Roman" w:eastAsia="宋体" w:cs="宋体"/>
          <w:b w:val="0"/>
          <w:bCs w:val="0"/>
          <w:color w:val="auto"/>
          <w:sz w:val="24"/>
          <w:szCs w:val="24"/>
        </w:rPr>
        <w:t>夜间灯光、建设用地比例和道路密度等人类活动指标</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尝试解释生态质量变化背后的城市化因素，</w:t>
      </w:r>
      <w:r>
        <w:rPr>
          <w:rFonts w:hint="eastAsia" w:ascii="Times New Roman" w:hAnsi="Times New Roman" w:eastAsia="宋体" w:cs="宋体"/>
          <w:b w:val="0"/>
          <w:bCs w:val="0"/>
          <w:color w:val="auto"/>
          <w:sz w:val="24"/>
          <w:szCs w:val="24"/>
          <w:lang w:val="en-US" w:eastAsia="zh-CN"/>
        </w:rPr>
        <w:t>可</w:t>
      </w:r>
      <w:r>
        <w:rPr>
          <w:rFonts w:hint="eastAsia" w:ascii="Times New Roman" w:hAnsi="Times New Roman" w:eastAsia="宋体" w:cs="宋体"/>
          <w:b w:val="0"/>
          <w:bCs w:val="0"/>
          <w:color w:val="auto"/>
          <w:sz w:val="24"/>
          <w:szCs w:val="24"/>
        </w:rPr>
        <w:t>体现遥感与GIS在人文社科领域中的应用价值。</w:t>
      </w:r>
    </w:p>
    <w:bookmarkEnd w:id="31"/>
    <w:p w14:paraId="3CDEBEAF">
      <w:pPr>
        <w:pStyle w:val="5"/>
        <w:pageBreakBefore w:val="0"/>
        <w:widowControl/>
        <w:numPr>
          <w:ilvl w:val="0"/>
          <w:numId w:val="15"/>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sz w:val="24"/>
          <w:szCs w:val="24"/>
        </w:rPr>
      </w:pPr>
      <w:bookmarkStart w:id="32" w:name="技术路线稳妥数据可获取性较强"/>
      <w:r>
        <w:rPr>
          <w:rFonts w:hint="eastAsia" w:ascii="Times New Roman" w:hAnsi="Times New Roman" w:eastAsia="宋体" w:cs="宋体"/>
          <w:b w:val="0"/>
          <w:bCs w:val="0"/>
          <w:color w:val="auto"/>
          <w:sz w:val="24"/>
          <w:szCs w:val="24"/>
        </w:rPr>
        <w:t>技术路线稳妥、数据可获取性较强</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研究所需的Landsat、DEM、夜间灯光和部分土地利用数据均可从公开平台获取</w:t>
      </w:r>
      <w:r>
        <w:rPr>
          <w:rFonts w:hint="eastAsia" w:ascii="Times New Roman" w:hAnsi="Times New Roman" w:eastAsia="宋体" w:cs="宋体"/>
          <w:b w:val="0"/>
          <w:bCs w:val="0"/>
          <w:color w:val="auto"/>
          <w:sz w:val="24"/>
          <w:szCs w:val="24"/>
          <w:lang w:val="en-US" w:eastAsia="zh-CN"/>
        </w:rPr>
        <w:t>到</w:t>
      </w:r>
      <w:r>
        <w:rPr>
          <w:rFonts w:hint="eastAsia" w:ascii="Times New Roman" w:hAnsi="Times New Roman" w:eastAsia="宋体" w:cs="宋体"/>
          <w:b w:val="0"/>
          <w:bCs w:val="0"/>
          <w:color w:val="auto"/>
          <w:sz w:val="24"/>
          <w:szCs w:val="24"/>
        </w:rPr>
        <w:t>，ArcGIS和GEE能够支持主要处理流程。</w:t>
      </w:r>
      <w:bookmarkEnd w:id="32"/>
      <w:bookmarkStart w:id="33" w:name="可服务于城市生态空间优化"/>
    </w:p>
    <w:p w14:paraId="2B54C5FA">
      <w:pPr>
        <w:pStyle w:val="5"/>
        <w:pageBreakBefore w:val="0"/>
        <w:widowControl/>
        <w:numPr>
          <w:ilvl w:val="0"/>
          <w:numId w:val="15"/>
        </w:numPr>
        <w:kinsoku/>
        <w:wordWrap/>
        <w:overflowPunct/>
        <w:topLinePunct w:val="0"/>
        <w:autoSpaceDE/>
        <w:autoSpaceDN/>
        <w:bidi w:val="0"/>
        <w:adjustRightInd/>
        <w:snapToGrid w:val="0"/>
        <w:spacing w:before="0" w:after="0" w:line="360" w:lineRule="auto"/>
        <w:ind w:left="425" w:leftChars="0" w:hanging="425" w:firstLineChars="0"/>
        <w:jc w:val="both"/>
        <w:textAlignment w:val="auto"/>
        <w:rPr>
          <w:rFonts w:hint="eastAsia" w:ascii="Times New Roman" w:hAnsi="Times New Roman" w:eastAsia="宋体" w:cs="宋体"/>
          <w:b w:val="0"/>
          <w:bCs w:val="0"/>
          <w:sz w:val="24"/>
          <w:szCs w:val="24"/>
        </w:rPr>
      </w:pPr>
      <w:r>
        <w:rPr>
          <w:rFonts w:hint="eastAsia" w:ascii="Times New Roman" w:hAnsi="Times New Roman" w:eastAsia="宋体" w:cs="宋体"/>
          <w:b w:val="0"/>
          <w:bCs w:val="0"/>
          <w:color w:val="auto"/>
          <w:sz w:val="24"/>
          <w:szCs w:val="24"/>
        </w:rPr>
        <w:t>可服务于城市生态空间优化</w:t>
      </w:r>
      <w:r>
        <w:rPr>
          <w:rFonts w:hint="eastAsia" w:ascii="Times New Roman" w:hAnsi="Times New Roman" w:eastAsia="宋体" w:cs="宋体"/>
          <w:b w:val="0"/>
          <w:bCs w:val="0"/>
          <w:color w:val="auto"/>
          <w:sz w:val="24"/>
          <w:szCs w:val="24"/>
          <w:lang w:eastAsia="zh-CN"/>
        </w:rPr>
        <w:t>：</w:t>
      </w:r>
      <w:r>
        <w:rPr>
          <w:rFonts w:hint="eastAsia" w:ascii="Times New Roman" w:hAnsi="Times New Roman" w:eastAsia="宋体" w:cs="宋体"/>
          <w:b w:val="0"/>
          <w:bCs w:val="0"/>
          <w:color w:val="auto"/>
          <w:sz w:val="24"/>
          <w:szCs w:val="24"/>
        </w:rPr>
        <w:t>通过识别生态质量下降区域、建设扩张敏感区域和生态质量稳定区域，</w:t>
      </w:r>
      <w:r>
        <w:rPr>
          <w:rFonts w:hint="eastAsia" w:ascii="Times New Roman" w:hAnsi="Times New Roman" w:eastAsia="宋体" w:cs="宋体"/>
          <w:b w:val="0"/>
          <w:bCs w:val="0"/>
          <w:color w:val="auto"/>
          <w:sz w:val="24"/>
          <w:szCs w:val="24"/>
          <w:lang w:val="en-US" w:eastAsia="zh-CN"/>
        </w:rPr>
        <w:t>其</w:t>
      </w:r>
      <w:r>
        <w:rPr>
          <w:rFonts w:hint="eastAsia" w:ascii="Times New Roman" w:hAnsi="Times New Roman" w:eastAsia="宋体" w:cs="宋体"/>
          <w:b w:val="0"/>
          <w:bCs w:val="0"/>
          <w:color w:val="auto"/>
          <w:sz w:val="24"/>
          <w:szCs w:val="24"/>
        </w:rPr>
        <w:t>研究结果可为福州市</w:t>
      </w:r>
      <w:r>
        <w:rPr>
          <w:rFonts w:hint="eastAsia" w:ascii="Times New Roman" w:hAnsi="Times New Roman" w:eastAsia="宋体" w:cs="宋体"/>
          <w:b w:val="0"/>
          <w:bCs w:val="0"/>
          <w:color w:val="auto"/>
          <w:sz w:val="24"/>
          <w:szCs w:val="24"/>
          <w:lang w:val="en-US" w:eastAsia="zh-CN"/>
        </w:rPr>
        <w:t>的</w:t>
      </w:r>
      <w:r>
        <w:rPr>
          <w:rFonts w:hint="eastAsia" w:ascii="Times New Roman" w:hAnsi="Times New Roman" w:eastAsia="宋体" w:cs="宋体"/>
          <w:b w:val="0"/>
          <w:bCs w:val="0"/>
          <w:color w:val="auto"/>
          <w:sz w:val="24"/>
          <w:szCs w:val="24"/>
        </w:rPr>
        <w:t>生态保护、城市绿地布局、滨海开发控制和国土空间规划提供</w:t>
      </w:r>
      <w:r>
        <w:rPr>
          <w:rFonts w:hint="eastAsia" w:ascii="Times New Roman" w:hAnsi="Times New Roman" w:eastAsia="宋体" w:cs="宋体"/>
          <w:b w:val="0"/>
          <w:bCs w:val="0"/>
          <w:color w:val="auto"/>
          <w:sz w:val="24"/>
          <w:szCs w:val="24"/>
          <w:lang w:val="en-US" w:eastAsia="zh-CN"/>
        </w:rPr>
        <w:t>一定</w:t>
      </w:r>
      <w:r>
        <w:rPr>
          <w:rFonts w:hint="eastAsia" w:ascii="Times New Roman" w:hAnsi="Times New Roman" w:eastAsia="宋体" w:cs="宋体"/>
          <w:b w:val="0"/>
          <w:bCs w:val="0"/>
          <w:color w:val="auto"/>
          <w:sz w:val="24"/>
          <w:szCs w:val="24"/>
        </w:rPr>
        <w:t>参考。</w:t>
      </w:r>
    </w:p>
    <w:p w14:paraId="39A24C9E">
      <w:pPr>
        <w:ind w:left="0" w:leftChars="0" w:firstLine="0" w:firstLineChars="0"/>
        <w:rPr>
          <w:rFonts w:hint="eastAsia" w:ascii="Times New Roman" w:hAnsi="Times New Roman" w:eastAsia="宋体" w:cs="宋体"/>
          <w:b w:val="0"/>
          <w:bCs w:val="0"/>
          <w:color w:val="auto"/>
          <w:sz w:val="24"/>
          <w:szCs w:val="24"/>
        </w:rPr>
      </w:pPr>
    </w:p>
    <w:p w14:paraId="2722B2D3">
      <w:pPr>
        <w:ind w:left="0" w:leftChars="0" w:firstLine="0" w:firstLineChars="0"/>
        <w:rPr>
          <w:rFonts w:hint="eastAsia" w:ascii="Times New Roman" w:hAnsi="Times New Roman" w:eastAsia="宋体" w:cs="宋体"/>
          <w:b w:val="0"/>
          <w:bCs w:val="0"/>
          <w:color w:val="auto"/>
          <w:sz w:val="24"/>
          <w:szCs w:val="24"/>
        </w:rPr>
      </w:pPr>
    </w:p>
    <w:bookmarkEnd w:id="29"/>
    <w:bookmarkEnd w:id="33"/>
    <w:p w14:paraId="550AFCB0">
      <w:pPr>
        <w:pStyle w:val="4"/>
        <w:numPr>
          <w:ilvl w:val="0"/>
          <w:numId w:val="2"/>
        </w:numPr>
        <w:bidi w:val="0"/>
        <w:ind w:left="0" w:leftChars="0" w:firstLine="0" w:firstLineChars="0"/>
      </w:pPr>
      <w:bookmarkStart w:id="34" w:name="十一预期结论"/>
      <w:r>
        <w:rPr>
          <w:rFonts w:hint="eastAsia"/>
        </w:rPr>
        <w:t>预期结论</w:t>
      </w:r>
    </w:p>
    <w:p w14:paraId="55DD4467">
      <w:pPr>
        <w:keepNext w:val="0"/>
        <w:keepLines w:val="0"/>
        <w:pageBreakBefore w:val="0"/>
        <w:widowControl/>
        <w:numPr>
          <w:ilvl w:val="0"/>
          <w:numId w:val="16"/>
        </w:numPr>
        <w:kinsoku/>
        <w:wordWrap/>
        <w:overflowPunct/>
        <w:topLinePunct w:val="0"/>
        <w:autoSpaceDE/>
        <w:autoSpaceDN/>
        <w:bidi w:val="0"/>
        <w:adjustRightInd/>
        <w:snapToGrid w:val="0"/>
        <w:spacing w:after="0" w:line="360" w:lineRule="auto"/>
        <w:ind w:left="425" w:leftChars="0" w:hanging="425" w:firstLineChars="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福州市RSEI空间分布可能呈现明显的“外围山地高、中心城区低、沿海建设区局部偏低”的格局。</w:t>
      </w:r>
    </w:p>
    <w:p w14:paraId="55B81A31">
      <w:pPr>
        <w:keepNext w:val="0"/>
        <w:keepLines w:val="0"/>
        <w:pageBreakBefore w:val="0"/>
        <w:widowControl/>
        <w:numPr>
          <w:ilvl w:val="0"/>
          <w:numId w:val="16"/>
        </w:numPr>
        <w:kinsoku/>
        <w:wordWrap/>
        <w:overflowPunct/>
        <w:topLinePunct w:val="0"/>
        <w:autoSpaceDE/>
        <w:autoSpaceDN/>
        <w:bidi w:val="0"/>
        <w:adjustRightInd/>
        <w:snapToGrid w:val="0"/>
        <w:spacing w:after="0" w:line="360" w:lineRule="auto"/>
        <w:ind w:left="425" w:leftChars="0" w:hanging="425" w:firstLineChars="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2000年以来福州市生态环境质量总体可能处于中等偏好水平，但建设用地快速扩张区域的生态质量波动较明显。</w:t>
      </w:r>
    </w:p>
    <w:p w14:paraId="0B58765D">
      <w:pPr>
        <w:keepNext w:val="0"/>
        <w:keepLines w:val="0"/>
        <w:pageBreakBefore w:val="0"/>
        <w:widowControl/>
        <w:numPr>
          <w:ilvl w:val="0"/>
          <w:numId w:val="16"/>
        </w:numPr>
        <w:kinsoku/>
        <w:wordWrap/>
        <w:overflowPunct/>
        <w:topLinePunct w:val="0"/>
        <w:autoSpaceDE/>
        <w:autoSpaceDN/>
        <w:bidi w:val="0"/>
        <w:adjustRightInd/>
        <w:snapToGrid w:val="0"/>
        <w:spacing w:after="0" w:line="360" w:lineRule="auto"/>
        <w:ind w:left="425" w:leftChars="0" w:hanging="425" w:firstLineChars="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夜间灯光强度、道路密度和建设用地比例较高区域的RSEI可能相对较低，说明城市化强度与生态环境质量之间存在一定负相关关系。</w:t>
      </w:r>
    </w:p>
    <w:p w14:paraId="792498E4">
      <w:pPr>
        <w:keepNext w:val="0"/>
        <w:keepLines w:val="0"/>
        <w:pageBreakBefore w:val="0"/>
        <w:widowControl/>
        <w:numPr>
          <w:ilvl w:val="0"/>
          <w:numId w:val="16"/>
        </w:numPr>
        <w:kinsoku/>
        <w:wordWrap/>
        <w:overflowPunct/>
        <w:topLinePunct w:val="0"/>
        <w:autoSpaceDE/>
        <w:autoSpaceDN/>
        <w:bidi w:val="0"/>
        <w:adjustRightInd/>
        <w:snapToGrid w:val="0"/>
        <w:spacing w:after="0" w:line="360" w:lineRule="auto"/>
        <w:ind w:left="425" w:leftChars="0" w:hanging="425" w:firstLineChars="0"/>
        <w:jc w:val="both"/>
        <w:textAlignment w:val="auto"/>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林地、水体和城市绿地对生态质量具有明显支撑作用，未来城市规划应加强生态廊道、山体保护和滨水空间治理。</w:t>
      </w:r>
    </w:p>
    <w:bookmarkEnd w:id="34"/>
    <w:p w14:paraId="4DFA91AE">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Chars="0"/>
        <w:jc w:val="center"/>
        <w:textAlignment w:val="auto"/>
        <w:rPr>
          <w:rFonts w:hint="eastAsia"/>
        </w:rPr>
      </w:pPr>
      <w:bookmarkStart w:id="35" w:name="十二主要参考文献"/>
    </w:p>
    <w:p w14:paraId="6195B214">
      <w:pPr>
        <w:keepNext w:val="0"/>
        <w:keepLines w:val="0"/>
        <w:pageBreakBefore w:val="0"/>
        <w:widowControl/>
        <w:numPr>
          <w:ilvl w:val="0"/>
          <w:numId w:val="0"/>
        </w:numPr>
        <w:kinsoku/>
        <w:wordWrap/>
        <w:overflowPunct/>
        <w:topLinePunct w:val="0"/>
        <w:autoSpaceDE/>
        <w:autoSpaceDN/>
        <w:bidi w:val="0"/>
        <w:adjustRightInd/>
        <w:snapToGrid w:val="0"/>
        <w:spacing w:after="0" w:line="360" w:lineRule="auto"/>
        <w:ind w:leftChars="0"/>
        <w:jc w:val="center"/>
        <w:textAlignment w:val="auto"/>
      </w:pPr>
      <w:r>
        <w:rPr>
          <w:rFonts w:hint="eastAsia"/>
        </w:rPr>
        <w:t>主要参考文献</w:t>
      </w:r>
    </w:p>
    <w:p w14:paraId="3428B3D3">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bookmarkStart w:id="36" w:name="期刊论文"/>
      <w:r>
        <w:rPr>
          <w:rFonts w:hint="eastAsia" w:ascii="宋体" w:hAnsi="宋体" w:eastAsia="宋体" w:cs="宋体"/>
          <w:b w:val="0"/>
          <w:bCs/>
          <w:sz w:val="21"/>
          <w:szCs w:val="21"/>
        </w:rPr>
        <w:t>[1] 陈晓辉, 胡喜生. 耦合ER和GWR的福州市生态环境质量的驱动力分析[J]. 生态环境学报, 2024, 33(5): 812-823. DOI: 10.16258/j.cnki.1674-5906.2024.05.014.</w:t>
      </w:r>
    </w:p>
    <w:p w14:paraId="2C2FE0D4">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[2] 余慧婕, 张方敏, 马赫, 卢燕宇. 基于遥感生态指数的淮河流域生态环境质量时空演化及其驱动因素分析[J]. 环境科学, 2024, 45(7): 4112-4121. DOI: 10.13227/j.hjkx.202308035.</w:t>
      </w:r>
    </w:p>
    <w:p w14:paraId="13A76F22">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[3] 陈芳淼, 黄慧萍, 杨光, 李旭. 基于遥感生态指数的黄河流域生态环境质量变化及影响因素分析[J]. 中国沙漠, 2023, 43(4): 252-262. DOI: 10.7522/j.issn.1000-694X.2023.00017.</w:t>
      </w:r>
    </w:p>
    <w:bookmarkEnd w:id="36"/>
    <w:p w14:paraId="71A7FAF2">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bookmarkStart w:id="37" w:name="硕士学位论文"/>
      <w:r>
        <w:rPr>
          <w:rFonts w:hint="eastAsia" w:ascii="宋体" w:hAnsi="宋体" w:eastAsia="宋体" w:cs="宋体"/>
          <w:b w:val="0"/>
          <w:bCs/>
          <w:sz w:val="21"/>
          <w:szCs w:val="21"/>
        </w:rPr>
        <w:t>[4] 张冬珠. 福建沿海水陆交接带生态脆弱区的遥感识别与生态安全诊断[D]. 福州大学, 2023.</w:t>
      </w:r>
    </w:p>
    <w:p w14:paraId="0659852F">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[5] 叶席. 基于综合型遥感生态指数的渝东南地区生态环境质量变化研究[D]. 西南大学, 2023.</w:t>
      </w:r>
    </w:p>
    <w:bookmarkEnd w:id="37"/>
    <w:p w14:paraId="76824EAF">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bookmarkStart w:id="38" w:name="经典基础文献"/>
      <w:r>
        <w:rPr>
          <w:rFonts w:hint="eastAsia" w:ascii="宋体" w:hAnsi="宋体" w:eastAsia="宋体" w:cs="宋体"/>
          <w:b w:val="0"/>
          <w:bCs/>
          <w:sz w:val="21"/>
          <w:szCs w:val="21"/>
        </w:rPr>
        <w:t>[6] 徐涵秋. 区域生态环境变化的遥感评价指数[J]. 中国环境科学, 2013, 33(5): 889-897.</w:t>
      </w:r>
    </w:p>
    <w:p w14:paraId="573C5256">
      <w:pPr>
        <w:keepNext w:val="0"/>
        <w:keepLines w:val="0"/>
        <w:pageBreakBefore w:val="0"/>
        <w:widowControl/>
        <w:numPr>
          <w:ilvl w:val="0"/>
          <w:numId w:val="0"/>
        </w:numPr>
        <w:kinsoku/>
        <w:wordWrap/>
        <w:overflowPunct/>
        <w:topLinePunct w:val="0"/>
        <w:autoSpaceDE/>
        <w:autoSpaceDN/>
        <w:bidi w:val="0"/>
        <w:adjustRightInd/>
        <w:snapToGrid w:val="0"/>
        <w:spacing w:after="0" w:line="240" w:lineRule="auto"/>
        <w:ind w:left="420" w:leftChars="0" w:hanging="420" w:hangingChars="200"/>
        <w:jc w:val="both"/>
        <w:textAlignment w:val="auto"/>
        <w:rPr>
          <w:rFonts w:hint="eastAsia" w:ascii="宋体" w:hAnsi="宋体" w:eastAsia="宋体" w:cs="宋体"/>
          <w:b w:val="0"/>
          <w:bCs/>
          <w:sz w:val="21"/>
          <w:szCs w:val="21"/>
        </w:rPr>
      </w:pPr>
      <w:r>
        <w:rPr>
          <w:rFonts w:hint="eastAsia" w:ascii="宋体" w:hAnsi="宋体" w:eastAsia="宋体" w:cs="宋体"/>
          <w:b w:val="0"/>
          <w:bCs/>
          <w:sz w:val="21"/>
          <w:szCs w:val="21"/>
        </w:rPr>
        <w:t>[7] 王劲峰, 徐成东. 地理探测器：原理与展望[J]. 地理学报, 2017, 72(1): 116-134.</w:t>
      </w:r>
      <w:bookmarkEnd w:id="35"/>
      <w:bookmarkEnd w:id="38"/>
      <w:bookmarkStart w:id="39" w:name="十三参考文献pdf附件情况"/>
    </w:p>
    <w:bookmarkEnd w:id="0"/>
    <w:bookmarkEnd w:id="39"/>
    <w:sectPr>
      <w:footerReference r:id="rId5" w:type="default"/>
      <w:pgSz w:w="11906" w:h="16838"/>
      <w:pgMar w:top="1440" w:right="1800" w:bottom="1440" w:left="180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正圆-45W">
    <w:altName w:val="宋体"/>
    <w:panose1 w:val="00020600040101010101"/>
    <w:charset w:val="86"/>
    <w:family w:val="roman"/>
    <w:pitch w:val="default"/>
    <w:sig w:usb0="00000000" w:usb1="00000000" w:usb2="00000016" w:usb3="00000000" w:csb0="0004009F" w:csb1="00000000"/>
  </w:font>
  <w:font w:name="Microsoft YaHei UI">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C066A">
    <w:pPr>
      <w:pStyle w:val="55"/>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9B2010F">
                <w:pPr>
                  <w:pStyle w:val="55"/>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5C303"/>
    <w:multiLevelType w:val="singleLevel"/>
    <w:tmpl w:val="A3C5C303"/>
    <w:lvl w:ilvl="0" w:tentative="0">
      <w:start w:val="1"/>
      <w:numFmt w:val="chineseCounting"/>
      <w:pStyle w:val="3"/>
      <w:suff w:val="nothing"/>
      <w:lvlText w:val="第%1章 "/>
      <w:lvlJc w:val="left"/>
      <w:pPr>
        <w:tabs>
          <w:tab w:val="left" w:pos="0"/>
        </w:tabs>
        <w:ind w:left="0" w:firstLine="420"/>
      </w:pPr>
      <w:rPr>
        <w:rFonts w:hint="eastAsia" w:ascii="黑体" w:hAnsi="黑体" w:eastAsia="黑体" w:cs="Times New Roman"/>
      </w:rPr>
    </w:lvl>
  </w:abstractNum>
  <w:abstractNum w:abstractNumId="1">
    <w:nsid w:val="A5B23F46"/>
    <w:multiLevelType w:val="multilevel"/>
    <w:tmpl w:val="A5B23F46"/>
    <w:lvl w:ilvl="0" w:tentative="0">
      <w:start w:val="1"/>
      <w:numFmt w:val="bullet"/>
      <w:pStyle w:val="40"/>
      <w:suff w:val="space"/>
      <w:lvlText w:val="◊"/>
      <w:lvlJc w:val="left"/>
      <w:pPr>
        <w:tabs>
          <w:tab w:val="left" w:pos="0"/>
        </w:tabs>
        <w:ind w:left="0" w:firstLine="0"/>
      </w:pPr>
      <w:rPr>
        <w:rFonts w:hint="default" w:ascii="Arial" w:hAnsi="Arial"/>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C12C37DC"/>
    <w:multiLevelType w:val="singleLevel"/>
    <w:tmpl w:val="C12C37DC"/>
    <w:lvl w:ilvl="0" w:tentative="0">
      <w:start w:val="1"/>
      <w:numFmt w:val="bullet"/>
      <w:pStyle w:val="46"/>
      <w:suff w:val="space"/>
      <w:lvlText w:val=""/>
      <w:lvlJc w:val="left"/>
      <w:pPr>
        <w:tabs>
          <w:tab w:val="left" w:pos="420"/>
        </w:tabs>
        <w:ind w:left="0" w:firstLine="0"/>
      </w:pPr>
      <w:rPr>
        <w:rFonts w:hint="default" w:ascii="Wingdings" w:hAnsi="Wingdings"/>
        <w:color w:val="auto"/>
      </w:rPr>
    </w:lvl>
  </w:abstractNum>
  <w:abstractNum w:abstractNumId="3">
    <w:nsid w:val="C8194FFB"/>
    <w:multiLevelType w:val="singleLevel"/>
    <w:tmpl w:val="C8194FFB"/>
    <w:lvl w:ilvl="0" w:tentative="0">
      <w:start w:val="1"/>
      <w:numFmt w:val="decimal"/>
      <w:lvlText w:val="(%1)"/>
      <w:lvlJc w:val="left"/>
      <w:pPr>
        <w:ind w:left="425" w:hanging="425"/>
      </w:pPr>
      <w:rPr>
        <w:rFonts w:hint="default"/>
      </w:rPr>
    </w:lvl>
  </w:abstractNum>
  <w:abstractNum w:abstractNumId="4">
    <w:nsid w:val="D9064476"/>
    <w:multiLevelType w:val="singleLevel"/>
    <w:tmpl w:val="D9064476"/>
    <w:lvl w:ilvl="0" w:tentative="0">
      <w:start w:val="1"/>
      <w:numFmt w:val="decimal"/>
      <w:lvlText w:val="(%1)"/>
      <w:lvlJc w:val="left"/>
      <w:pPr>
        <w:ind w:left="425" w:hanging="425"/>
      </w:pPr>
      <w:rPr>
        <w:rFonts w:hint="default"/>
      </w:rPr>
    </w:lvl>
  </w:abstractNum>
  <w:abstractNum w:abstractNumId="5">
    <w:nsid w:val="DC4D49BD"/>
    <w:multiLevelType w:val="multilevel"/>
    <w:tmpl w:val="DC4D49BD"/>
    <w:lvl w:ilvl="0" w:tentative="0">
      <w:start w:val="1"/>
      <w:numFmt w:val="decimal"/>
      <w:lvlText w:val="第%1章 "/>
      <w:lvlJc w:val="left"/>
      <w:pPr>
        <w:tabs>
          <w:tab w:val="left" w:pos="0"/>
        </w:tabs>
        <w:ind w:left="0" w:leftChars="0" w:firstLine="0" w:firstLineChars="0"/>
      </w:pPr>
      <w:rPr>
        <w:rFonts w:hint="default" w:ascii="黑体" w:hAnsi="黑体" w:eastAsia="黑体" w:cs="Times New Roman"/>
      </w:rPr>
    </w:lvl>
    <w:lvl w:ilvl="1" w:tentative="0">
      <w:start w:val="1"/>
      <w:numFmt w:val="decimal"/>
      <w:pStyle w:val="4"/>
      <w:lvlText w:val="%1.%2 "/>
      <w:lvlJc w:val="left"/>
      <w:pPr>
        <w:tabs>
          <w:tab w:val="left" w:pos="0"/>
        </w:tabs>
        <w:ind w:left="0" w:leftChars="0" w:firstLine="0" w:firstLineChars="0"/>
      </w:pPr>
      <w:rPr>
        <w:rFonts w:hint="default" w:ascii="Times New Roman" w:hAnsi="Times New Roman" w:eastAsia="宋体" w:cs="Times New Roman"/>
      </w:rPr>
    </w:lvl>
    <w:lvl w:ilvl="2" w:tentative="0">
      <w:start w:val="1"/>
      <w:numFmt w:val="decimal"/>
      <w:pStyle w:val="5"/>
      <w:lvlText w:val="%1.%2.%3 "/>
      <w:lvlJc w:val="left"/>
      <w:pPr>
        <w:tabs>
          <w:tab w:val="left" w:pos="0"/>
        </w:tabs>
        <w:ind w:left="0" w:leftChars="0" w:firstLine="0" w:firstLineChars="0"/>
      </w:pPr>
      <w:rPr>
        <w:rFonts w:hint="default" w:ascii="Times New Roman" w:hAnsi="Times New Roman" w:eastAsia="宋体" w:cs="Times New Roman"/>
        <w:b/>
        <w:bCs/>
      </w:rPr>
    </w:lvl>
    <w:lvl w:ilvl="3" w:tentative="0">
      <w:start w:val="1"/>
      <w:numFmt w:val="decimal"/>
      <w:pStyle w:val="6"/>
      <w:lvlText w:val="%1.%2.%3.%4 "/>
      <w:lvlJc w:val="left"/>
      <w:pPr>
        <w:tabs>
          <w:tab w:val="left" w:pos="0"/>
        </w:tabs>
        <w:ind w:left="0" w:leftChars="0" w:firstLine="0" w:firstLineChars="0"/>
      </w:pPr>
      <w:rPr>
        <w:rFonts w:hint="default" w:ascii="Times New Roman" w:hAnsi="Times New Roman" w:eastAsia="宋体" w:cs="Times New Roman"/>
        <w:b/>
        <w:bCs/>
      </w:rPr>
    </w:lvl>
    <w:lvl w:ilvl="4" w:tentative="0">
      <w:start w:val="1"/>
      <w:numFmt w:val="decimal"/>
      <w:pStyle w:val="7"/>
      <w:lvlText w:val="%1.%2.%3.%4.%5 "/>
      <w:lvlJc w:val="left"/>
      <w:pPr>
        <w:tabs>
          <w:tab w:val="left" w:pos="0"/>
        </w:tabs>
        <w:ind w:left="0" w:leftChars="0" w:firstLine="0" w:firstLineChars="0"/>
      </w:pPr>
      <w:rPr>
        <w:rFonts w:hint="default" w:ascii="Times New Roman" w:hAnsi="Times New Roman" w:eastAsia="宋体" w:cs="Times New Roman"/>
        <w:b/>
        <w:bCs/>
      </w:rPr>
    </w:lvl>
    <w:lvl w:ilvl="5" w:tentative="0">
      <w:start w:val="1"/>
      <w:numFmt w:val="decimal"/>
      <w:pStyle w:val="8"/>
      <w:lvlText w:val="%1.%2.%3.%4.%5.%6 "/>
      <w:lvlJc w:val="left"/>
      <w:pPr>
        <w:tabs>
          <w:tab w:val="left" w:pos="0"/>
        </w:tabs>
        <w:ind w:left="0" w:leftChars="0" w:firstLine="0" w:firstLineChars="0"/>
      </w:pPr>
      <w:rPr>
        <w:rFonts w:hint="default" w:ascii="Times New Roman" w:hAnsi="Times New Roman" w:eastAsia="宋体" w:cs="Times New Roman"/>
        <w:b/>
        <w:bCs/>
      </w:rPr>
    </w:lvl>
    <w:lvl w:ilvl="6" w:tentative="0">
      <w:start w:val="1"/>
      <w:numFmt w:val="decimal"/>
      <w:pStyle w:val="9"/>
      <w:suff w:val="nothing"/>
      <w:lvlText w:val="%1.%2.%3.%4.%5.%6.%7 "/>
      <w:lvlJc w:val="left"/>
      <w:pPr>
        <w:tabs>
          <w:tab w:val="left" w:pos="0"/>
        </w:tabs>
        <w:ind w:left="0" w:leftChars="0" w:firstLine="0" w:firstLineChars="0"/>
      </w:pPr>
      <w:rPr>
        <w:rFonts w:hint="default" w:ascii="Times New Roman" w:hAnsi="Times New Roman" w:eastAsia="宋体" w:cs="Times New Roman"/>
        <w:b/>
        <w:bCs/>
      </w:rPr>
    </w:lvl>
    <w:lvl w:ilvl="7" w:tentative="0">
      <w:start w:val="1"/>
      <w:numFmt w:val="decimal"/>
      <w:pStyle w:val="10"/>
      <w:lvlText w:val="%1.%2.%3.%4.%5.%6.%7.%8 "/>
      <w:lvlJc w:val="left"/>
      <w:pPr>
        <w:tabs>
          <w:tab w:val="left" w:pos="420"/>
        </w:tabs>
        <w:ind w:left="0" w:leftChars="0" w:firstLine="0" w:firstLineChars="0"/>
      </w:pPr>
      <w:rPr>
        <w:rFonts w:hint="default" w:ascii="Times New Roman" w:hAnsi="Times New Roman" w:eastAsia="宋体" w:cs="Times New Roman"/>
      </w:rPr>
    </w:lvl>
    <w:lvl w:ilvl="8" w:tentative="0">
      <w:start w:val="1"/>
      <w:numFmt w:val="decimal"/>
      <w:pStyle w:val="11"/>
      <w:lvlText w:val="%1.%2.%3.%4.%5.%6.%7.%8.%9 "/>
      <w:lvlJc w:val="left"/>
      <w:pPr>
        <w:tabs>
          <w:tab w:val="left" w:pos="0"/>
        </w:tabs>
        <w:ind w:left="0" w:leftChars="0" w:firstLine="0" w:firstLineChars="0"/>
      </w:pPr>
      <w:rPr>
        <w:rFonts w:hint="default" w:ascii="Times New Roman" w:hAnsi="Times New Roman" w:eastAsia="宋体" w:cs="Times New Roman"/>
      </w:rPr>
    </w:lvl>
  </w:abstractNum>
  <w:abstractNum w:abstractNumId="6">
    <w:nsid w:val="E08E37DC"/>
    <w:multiLevelType w:val="singleLevel"/>
    <w:tmpl w:val="E08E37DC"/>
    <w:lvl w:ilvl="0" w:tentative="0">
      <w:start w:val="1"/>
      <w:numFmt w:val="bullet"/>
      <w:pStyle w:val="24"/>
      <w:suff w:val="space"/>
      <w:lvlText w:val=""/>
      <w:lvlJc w:val="left"/>
      <w:pPr>
        <w:tabs>
          <w:tab w:val="left" w:pos="0"/>
        </w:tabs>
        <w:ind w:left="0" w:firstLine="0"/>
      </w:pPr>
      <w:rPr>
        <w:rFonts w:hint="default" w:ascii="Wingdings" w:hAnsi="Wingdings"/>
        <w:color w:val="auto"/>
      </w:rPr>
    </w:lvl>
  </w:abstractNum>
  <w:abstractNum w:abstractNumId="7">
    <w:nsid w:val="FCB0EF20"/>
    <w:multiLevelType w:val="singleLevel"/>
    <w:tmpl w:val="FCB0EF20"/>
    <w:lvl w:ilvl="0" w:tentative="0">
      <w:start w:val="1"/>
      <w:numFmt w:val="decimalEnclosedCircleChinese"/>
      <w:suff w:val="nothing"/>
      <w:lvlText w:val="%1　"/>
      <w:lvlJc w:val="left"/>
      <w:pPr>
        <w:ind w:left="0" w:firstLine="400"/>
      </w:pPr>
      <w:rPr>
        <w:rFonts w:hint="eastAsia"/>
      </w:rPr>
    </w:lvl>
  </w:abstractNum>
  <w:abstractNum w:abstractNumId="8">
    <w:nsid w:val="0A2F313A"/>
    <w:multiLevelType w:val="singleLevel"/>
    <w:tmpl w:val="0A2F313A"/>
    <w:lvl w:ilvl="0" w:tentative="0">
      <w:start w:val="1"/>
      <w:numFmt w:val="decimalEnclosedCircleChinese"/>
      <w:suff w:val="nothing"/>
      <w:lvlText w:val="%1　"/>
      <w:lvlJc w:val="left"/>
      <w:pPr>
        <w:ind w:left="0" w:firstLine="400"/>
      </w:pPr>
      <w:rPr>
        <w:rFonts w:hint="eastAsia"/>
      </w:rPr>
    </w:lvl>
  </w:abstractNum>
  <w:abstractNum w:abstractNumId="9">
    <w:nsid w:val="106257FD"/>
    <w:multiLevelType w:val="multilevel"/>
    <w:tmpl w:val="106257FD"/>
    <w:lvl w:ilvl="0" w:tentative="0">
      <w:start w:val="1"/>
      <w:numFmt w:val="bullet"/>
      <w:pStyle w:val="17"/>
      <w:suff w:val="space"/>
      <w:lvlText w:val=""/>
      <w:lvlJc w:val="left"/>
      <w:pPr>
        <w:tabs>
          <w:tab w:val="left" w:pos="420"/>
        </w:tabs>
        <w:ind w:left="0" w:firstLine="0"/>
      </w:pPr>
      <w:rPr>
        <w:rFonts w:hint="default" w:ascii="Wingdings" w:hAnsi="Wingdings"/>
        <w:color w:val="auto"/>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24312DD0"/>
    <w:multiLevelType w:val="singleLevel"/>
    <w:tmpl w:val="24312DD0"/>
    <w:lvl w:ilvl="0" w:tentative="0">
      <w:start w:val="1"/>
      <w:numFmt w:val="decimalEnclosedCircleChinese"/>
      <w:suff w:val="nothing"/>
      <w:lvlText w:val="%1　"/>
      <w:lvlJc w:val="left"/>
      <w:pPr>
        <w:ind w:left="0" w:firstLine="400"/>
      </w:pPr>
      <w:rPr>
        <w:rFonts w:hint="eastAsia"/>
      </w:rPr>
    </w:lvl>
  </w:abstractNum>
  <w:abstractNum w:abstractNumId="11">
    <w:nsid w:val="28A86BA8"/>
    <w:multiLevelType w:val="singleLevel"/>
    <w:tmpl w:val="28A86BA8"/>
    <w:lvl w:ilvl="0" w:tentative="0">
      <w:start w:val="1"/>
      <w:numFmt w:val="decimalEnclosedCircleChinese"/>
      <w:suff w:val="nothing"/>
      <w:lvlText w:val="%1　"/>
      <w:lvlJc w:val="left"/>
      <w:pPr>
        <w:ind w:left="0" w:firstLine="400"/>
      </w:pPr>
      <w:rPr>
        <w:rFonts w:hint="eastAsia"/>
      </w:rPr>
    </w:lvl>
  </w:abstractNum>
  <w:abstractNum w:abstractNumId="12">
    <w:nsid w:val="5EB4BE0E"/>
    <w:multiLevelType w:val="singleLevel"/>
    <w:tmpl w:val="5EB4BE0E"/>
    <w:lvl w:ilvl="0" w:tentative="0">
      <w:start w:val="1"/>
      <w:numFmt w:val="decimal"/>
      <w:lvlText w:val="(%1)"/>
      <w:lvlJc w:val="left"/>
      <w:pPr>
        <w:ind w:left="425" w:hanging="425"/>
      </w:pPr>
      <w:rPr>
        <w:rFonts w:hint="default"/>
      </w:rPr>
    </w:lvl>
  </w:abstractNum>
  <w:abstractNum w:abstractNumId="13">
    <w:nsid w:val="73095385"/>
    <w:multiLevelType w:val="singleLevel"/>
    <w:tmpl w:val="73095385"/>
    <w:lvl w:ilvl="0" w:tentative="0">
      <w:start w:val="1"/>
      <w:numFmt w:val="decimal"/>
      <w:lvlText w:val="(%1)"/>
      <w:lvlJc w:val="left"/>
      <w:pPr>
        <w:ind w:left="425" w:hanging="425"/>
      </w:pPr>
      <w:rPr>
        <w:rFonts w:hint="default"/>
      </w:rPr>
    </w:lvl>
  </w:abstractNum>
  <w:abstractNum w:abstractNumId="14">
    <w:nsid w:val="74D657D1"/>
    <w:multiLevelType w:val="multilevel"/>
    <w:tmpl w:val="74D657D1"/>
    <w:lvl w:ilvl="0" w:tentative="0">
      <w:start w:val="1"/>
      <w:numFmt w:val="decimal"/>
      <w:pStyle w:val="20"/>
      <w:suff w:val="space"/>
      <w:lvlText w:val="第 %1 条"/>
      <w:lvlJc w:val="left"/>
      <w:pPr>
        <w:tabs>
          <w:tab w:val="left" w:pos="0"/>
        </w:tabs>
        <w:ind w:left="0" w:firstLine="0"/>
      </w:pPr>
      <w:rPr>
        <w:rFonts w:hint="default"/>
      </w:rPr>
    </w:lvl>
    <w:lvl w:ilvl="1" w:tentative="0">
      <w:start w:val="1"/>
      <w:numFmt w:val="decimalFullWidth"/>
      <w:pStyle w:val="14"/>
      <w:isLgl/>
      <w:suff w:val="space"/>
      <w:lvlText w:val="%1.%2"/>
      <w:lvlJc w:val="left"/>
      <w:pPr>
        <w:tabs>
          <w:tab w:val="left" w:pos="420"/>
        </w:tabs>
        <w:ind w:left="0" w:firstLine="0"/>
      </w:pPr>
      <w:rPr>
        <w:rFonts w:hint="eastAsia"/>
      </w:rPr>
    </w:lvl>
    <w:lvl w:ilvl="2" w:tentative="0">
      <w:start w:val="1"/>
      <w:numFmt w:val="decimal"/>
      <w:pStyle w:val="36"/>
      <w:isLgl/>
      <w:suff w:val="space"/>
      <w:lvlText w:val="%1.%2.%3"/>
      <w:lvlJc w:val="left"/>
      <w:pPr>
        <w:tabs>
          <w:tab w:val="left" w:pos="0"/>
        </w:tabs>
        <w:ind w:left="0" w:firstLine="0"/>
      </w:pPr>
      <w:rPr>
        <w:rFonts w:hint="eastAsia"/>
      </w:rPr>
    </w:lvl>
    <w:lvl w:ilvl="3" w:tentative="0">
      <w:start w:val="1"/>
      <w:numFmt w:val="decimal"/>
      <w:pStyle w:val="47"/>
      <w:isLgl/>
      <w:suff w:val="space"/>
      <w:lvlText w:val="%4）"/>
      <w:lvlJc w:val="left"/>
      <w:pPr>
        <w:tabs>
          <w:tab w:val="left" w:pos="420"/>
        </w:tabs>
        <w:ind w:left="0" w:firstLine="0"/>
      </w:pPr>
      <w:rPr>
        <w:rFonts w:hint="default"/>
      </w:rPr>
    </w:lvl>
    <w:lvl w:ilvl="4" w:tentative="0">
      <w:start w:val="1"/>
      <w:numFmt w:val="decimalZero"/>
      <w:pStyle w:val="65"/>
      <w:isLgl/>
      <w:lvlText w:val="%5."/>
      <w:lvlJc w:val="left"/>
      <w:pPr>
        <w:tabs>
          <w:tab w:val="left" w:pos="420"/>
        </w:tabs>
        <w:ind w:left="0" w:firstLine="0"/>
      </w:pPr>
      <w:rPr>
        <w:rFonts w:hint="default"/>
      </w:rPr>
    </w:lvl>
    <w:lvl w:ilvl="5" w:tentative="0">
      <w:start w:val="1"/>
      <w:numFmt w:val="lowerLetter"/>
      <w:lvlText w:val="%6)"/>
      <w:lvlJc w:val="left"/>
      <w:pPr>
        <w:ind w:left="1152" w:hanging="432"/>
      </w:pPr>
      <w:rPr>
        <w:rFonts w:hint="eastAsia"/>
      </w:rPr>
    </w:lvl>
    <w:lvl w:ilvl="6" w:tentative="0">
      <w:start w:val="1"/>
      <w:numFmt w:val="lowerRoman"/>
      <w:lvlText w:val="%7)"/>
      <w:lvlJc w:val="right"/>
      <w:pPr>
        <w:ind w:left="1296" w:hanging="288"/>
      </w:pPr>
      <w:rPr>
        <w:rFonts w:hint="eastAsia"/>
      </w:rPr>
    </w:lvl>
    <w:lvl w:ilvl="7" w:tentative="0">
      <w:start w:val="1"/>
      <w:numFmt w:val="lowerLetter"/>
      <w:lvlText w:val="%8."/>
      <w:lvlJc w:val="left"/>
      <w:pPr>
        <w:ind w:left="1440" w:hanging="432"/>
      </w:pPr>
      <w:rPr>
        <w:rFonts w:hint="eastAsia"/>
      </w:rPr>
    </w:lvl>
    <w:lvl w:ilvl="8" w:tentative="0">
      <w:start w:val="1"/>
      <w:numFmt w:val="lowerRoman"/>
      <w:lvlText w:val="%9."/>
      <w:lvlJc w:val="right"/>
      <w:pPr>
        <w:ind w:left="1584" w:hanging="144"/>
      </w:pPr>
      <w:rPr>
        <w:rFonts w:hint="eastAsia"/>
      </w:rPr>
    </w:lvl>
  </w:abstractNum>
  <w:abstractNum w:abstractNumId="15">
    <w:nsid w:val="789DDC66"/>
    <w:multiLevelType w:val="singleLevel"/>
    <w:tmpl w:val="789DDC66"/>
    <w:lvl w:ilvl="0" w:tentative="0">
      <w:start w:val="1"/>
      <w:numFmt w:val="bullet"/>
      <w:pStyle w:val="33"/>
      <w:suff w:val="space"/>
      <w:lvlText w:val=""/>
      <w:lvlJc w:val="left"/>
      <w:pPr>
        <w:tabs>
          <w:tab w:val="left" w:pos="420"/>
        </w:tabs>
        <w:ind w:left="0" w:firstLine="0"/>
      </w:pPr>
      <w:rPr>
        <w:rFonts w:hint="default" w:ascii="Wingdings" w:hAnsi="Wingdings"/>
        <w:color w:val="auto"/>
      </w:rPr>
    </w:lvl>
  </w:abstractNum>
  <w:num w:numId="1">
    <w:abstractNumId w:val="0"/>
  </w:num>
  <w:num w:numId="2">
    <w:abstractNumId w:val="5"/>
  </w:num>
  <w:num w:numId="3">
    <w:abstractNumId w:val="14"/>
  </w:num>
  <w:num w:numId="4">
    <w:abstractNumId w:val="9"/>
  </w:num>
  <w:num w:numId="5">
    <w:abstractNumId w:val="6"/>
  </w:num>
  <w:num w:numId="6">
    <w:abstractNumId w:val="15"/>
  </w:num>
  <w:num w:numId="7">
    <w:abstractNumId w:val="1"/>
  </w:num>
  <w:num w:numId="8">
    <w:abstractNumId w:val="2"/>
  </w:num>
  <w:num w:numId="9">
    <w:abstractNumId w:val="10"/>
  </w:num>
  <w:num w:numId="10">
    <w:abstractNumId w:val="8"/>
  </w:num>
  <w:num w:numId="11">
    <w:abstractNumId w:val="7"/>
  </w:num>
  <w:num w:numId="12">
    <w:abstractNumId w:val="11"/>
  </w:num>
  <w:num w:numId="13">
    <w:abstractNumId w:val="3"/>
  </w:num>
  <w:num w:numId="14">
    <w:abstractNumId w:val="12"/>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6C17C24"/>
    <w:rsid w:val="0A137EE8"/>
    <w:rsid w:val="0AC82796"/>
    <w:rsid w:val="1C3E4358"/>
    <w:rsid w:val="1FEF0F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adjustRightInd w:val="0"/>
      <w:snapToGrid w:val="0"/>
      <w:spacing w:line="360" w:lineRule="auto"/>
      <w:ind w:firstLine="440" w:firstLineChars="200"/>
      <w:jc w:val="both"/>
    </w:pPr>
    <w:rPr>
      <w:rFonts w:ascii="宋体" w:hAnsi="宋体" w:eastAsia="宋体" w:cs="Times New Roman"/>
      <w:color w:val="auto"/>
      <w:kern w:val="2"/>
      <w:sz w:val="24"/>
      <w:szCs w:val="24"/>
      <w:lang w:val="en-US" w:eastAsia="zh-CN" w:bidi="ar-SA"/>
    </w:rPr>
  </w:style>
  <w:style w:type="paragraph" w:styleId="3">
    <w:name w:val="heading 1"/>
    <w:next w:val="1"/>
    <w:link w:val="106"/>
    <w:qFormat/>
    <w:uiPriority w:val="9"/>
    <w:pPr>
      <w:keepNext/>
      <w:keepLines/>
      <w:numPr>
        <w:ilvl w:val="0"/>
        <w:numId w:val="1"/>
      </w:numPr>
      <w:tabs>
        <w:tab w:val="left" w:pos="-420"/>
      </w:tabs>
      <w:bidi w:val="0"/>
      <w:adjustRightInd w:val="0"/>
      <w:snapToGrid w:val="0"/>
      <w:spacing w:before="50" w:beforeLines="50" w:after="50" w:afterLines="50" w:line="288" w:lineRule="auto"/>
      <w:ind w:left="0" w:leftChars="0" w:firstLine="0" w:firstLineChars="0"/>
      <w:outlineLvl w:val="0"/>
    </w:pPr>
    <w:rPr>
      <w:rFonts w:ascii="黑体" w:hAnsi="黑体" w:eastAsia="黑体" w:cs="Times New Roman"/>
      <w:b/>
      <w:bCs/>
      <w:color w:val="auto"/>
      <w:kern w:val="44"/>
      <w:sz w:val="32"/>
      <w:szCs w:val="32"/>
      <w:lang w:val="en-US" w:eastAsia="zh-CN" w:bidi="ar-SA"/>
    </w:rPr>
  </w:style>
  <w:style w:type="paragraph" w:styleId="4">
    <w:name w:val="heading 2"/>
    <w:next w:val="1"/>
    <w:link w:val="107"/>
    <w:unhideWhenUsed/>
    <w:qFormat/>
    <w:uiPriority w:val="9"/>
    <w:pPr>
      <w:numPr>
        <w:ilvl w:val="1"/>
        <w:numId w:val="2"/>
      </w:numPr>
      <w:bidi w:val="0"/>
      <w:adjustRightInd w:val="0"/>
      <w:snapToGrid w:val="0"/>
      <w:spacing w:before="50" w:beforeLines="50" w:after="50" w:afterLines="50" w:line="288" w:lineRule="auto"/>
      <w:ind w:left="0" w:leftChars="0" w:firstLine="0" w:firstLineChars="0"/>
      <w:outlineLvl w:val="1"/>
    </w:pPr>
    <w:rPr>
      <w:rFonts w:ascii="黑体" w:hAnsi="黑体" w:eastAsia="黑体" w:cs="Times New Roman"/>
      <w:b/>
      <w:bCs/>
      <w:color w:val="auto"/>
      <w:kern w:val="2"/>
      <w:sz w:val="30"/>
      <w:szCs w:val="30"/>
      <w:lang w:val="en-US" w:eastAsia="zh-CN" w:bidi="ar-SA"/>
    </w:rPr>
  </w:style>
  <w:style w:type="paragraph" w:styleId="5">
    <w:name w:val="heading 3"/>
    <w:next w:val="1"/>
    <w:link w:val="108"/>
    <w:unhideWhenUsed/>
    <w:qFormat/>
    <w:uiPriority w:val="9"/>
    <w:pPr>
      <w:numPr>
        <w:ilvl w:val="2"/>
        <w:numId w:val="2"/>
      </w:numPr>
      <w:bidi w:val="0"/>
      <w:adjustRightInd w:val="0"/>
      <w:snapToGrid w:val="0"/>
      <w:spacing w:before="50" w:beforeLines="50" w:after="50" w:afterLines="50" w:line="288" w:lineRule="auto"/>
      <w:ind w:left="0" w:leftChars="0" w:firstLine="0" w:firstLineChars="0"/>
      <w:outlineLvl w:val="2"/>
    </w:pPr>
    <w:rPr>
      <w:rFonts w:ascii="黑体" w:hAnsi="黑体" w:eastAsia="黑体" w:cs="Times New Roman"/>
      <w:b/>
      <w:bCs/>
      <w:color w:val="auto"/>
      <w:kern w:val="2"/>
      <w:sz w:val="28"/>
      <w:szCs w:val="28"/>
      <w:lang w:val="en-US" w:eastAsia="zh-CN" w:bidi="ar-SA"/>
    </w:rPr>
  </w:style>
  <w:style w:type="paragraph" w:styleId="6">
    <w:name w:val="heading 4"/>
    <w:next w:val="1"/>
    <w:link w:val="109"/>
    <w:unhideWhenUsed/>
    <w:qFormat/>
    <w:uiPriority w:val="9"/>
    <w:pPr>
      <w:numPr>
        <w:ilvl w:val="3"/>
        <w:numId w:val="2"/>
      </w:numPr>
      <w:bidi w:val="0"/>
      <w:adjustRightInd w:val="0"/>
      <w:snapToGrid w:val="0"/>
      <w:spacing w:before="50" w:beforeLines="50" w:after="50" w:afterLines="50" w:line="288" w:lineRule="auto"/>
      <w:ind w:left="0" w:leftChars="0" w:firstLine="0" w:firstLineChars="0"/>
      <w:outlineLvl w:val="3"/>
    </w:pPr>
    <w:rPr>
      <w:rFonts w:ascii="黑体" w:hAnsi="黑体" w:eastAsia="黑体" w:cs="Times New Roman"/>
      <w:b/>
      <w:bCs/>
      <w:color w:val="auto"/>
      <w:sz w:val="28"/>
      <w:szCs w:val="28"/>
      <w:lang w:val="en-US" w:eastAsia="zh-CN" w:bidi="ar-SA"/>
    </w:rPr>
  </w:style>
  <w:style w:type="paragraph" w:styleId="7">
    <w:name w:val="heading 5"/>
    <w:next w:val="1"/>
    <w:link w:val="110"/>
    <w:unhideWhenUsed/>
    <w:qFormat/>
    <w:uiPriority w:val="9"/>
    <w:pPr>
      <w:keepNext w:val="0"/>
      <w:keepLines w:val="0"/>
      <w:pageBreakBefore w:val="0"/>
      <w:widowControl/>
      <w:numPr>
        <w:ilvl w:val="4"/>
        <w:numId w:val="2"/>
      </w:numPr>
      <w:tabs>
        <w:tab w:val="left" w:pos="42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4"/>
    </w:pPr>
    <w:rPr>
      <w:rFonts w:ascii="黑体" w:hAnsi="黑体" w:eastAsia="黑体" w:cs="Times New Roman"/>
      <w:b/>
      <w:bCs/>
      <w:color w:val="252525" w:themeColor="text1" w:themeTint="D9"/>
      <w:sz w:val="28"/>
      <w:szCs w:val="28"/>
      <w:lang w:val="en-US" w:eastAsia="zh-CN" w:bidi="ar-SA"/>
    </w:rPr>
  </w:style>
  <w:style w:type="paragraph" w:styleId="8">
    <w:name w:val="heading 6"/>
    <w:next w:val="1"/>
    <w:link w:val="111"/>
    <w:unhideWhenUsed/>
    <w:qFormat/>
    <w:uiPriority w:val="0"/>
    <w:pPr>
      <w:keepNext w:val="0"/>
      <w:keepLines w:val="0"/>
      <w:pageBreakBefore w:val="0"/>
      <w:widowControl/>
      <w:numPr>
        <w:ilvl w:val="5"/>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5"/>
    </w:pPr>
    <w:rPr>
      <w:rFonts w:ascii="黑体" w:hAnsi="黑体" w:eastAsia="黑体" w:cs="黑体"/>
      <w:b/>
      <w:bCs/>
      <w:color w:val="auto"/>
      <w:sz w:val="24"/>
      <w:szCs w:val="24"/>
      <w:lang w:val="en-US" w:eastAsia="zh-CN" w:bidi="ar-SA"/>
    </w:rPr>
  </w:style>
  <w:style w:type="paragraph" w:styleId="9">
    <w:name w:val="heading 7"/>
    <w:next w:val="1"/>
    <w:link w:val="112"/>
    <w:unhideWhenUsed/>
    <w:qFormat/>
    <w:uiPriority w:val="0"/>
    <w:pPr>
      <w:keepNext w:val="0"/>
      <w:keepLines w:val="0"/>
      <w:pageBreakBefore w:val="0"/>
      <w:widowControl/>
      <w:numPr>
        <w:ilvl w:val="6"/>
        <w:numId w:val="2"/>
      </w:numPr>
      <w:tabs>
        <w:tab w:val="left" w:pos="420"/>
        <w:tab w:val="left" w:pos="480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6"/>
    </w:pPr>
    <w:rPr>
      <w:rFonts w:ascii="黑体" w:hAnsi="黑体" w:eastAsia="黑体" w:cs="Times New Roman"/>
      <w:b/>
      <w:bCs/>
      <w:color w:val="auto"/>
      <w:sz w:val="24"/>
      <w:szCs w:val="24"/>
      <w:lang w:val="en-US" w:eastAsia="zh-CN" w:bidi="ar-SA"/>
    </w:rPr>
  </w:style>
  <w:style w:type="paragraph" w:styleId="10">
    <w:name w:val="heading 8"/>
    <w:next w:val="1"/>
    <w:link w:val="113"/>
    <w:unhideWhenUsed/>
    <w:qFormat/>
    <w:uiPriority w:val="0"/>
    <w:pPr>
      <w:keepNext w:val="0"/>
      <w:keepLines w:val="0"/>
      <w:pageBreakBefore w:val="0"/>
      <w:widowControl/>
      <w:numPr>
        <w:ilvl w:val="7"/>
        <w:numId w:val="2"/>
      </w:numPr>
      <w:tabs>
        <w:tab w:val="left" w:pos="0"/>
      </w:tabs>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7"/>
    </w:pPr>
    <w:rPr>
      <w:rFonts w:ascii="黑体" w:hAnsi="黑体" w:eastAsia="黑体" w:cs="Times New Roman"/>
      <w:color w:val="auto"/>
      <w:sz w:val="24"/>
      <w:szCs w:val="24"/>
      <w:lang w:val="en-US" w:eastAsia="zh-CN" w:bidi="ar-SA"/>
    </w:rPr>
  </w:style>
  <w:style w:type="paragraph" w:styleId="11">
    <w:name w:val="heading 9"/>
    <w:next w:val="1"/>
    <w:link w:val="114"/>
    <w:unhideWhenUsed/>
    <w:qFormat/>
    <w:uiPriority w:val="0"/>
    <w:pPr>
      <w:keepNext w:val="0"/>
      <w:keepLines w:val="0"/>
      <w:pageBreakBefore w:val="0"/>
      <w:widowControl/>
      <w:numPr>
        <w:ilvl w:val="8"/>
        <w:numId w:val="2"/>
      </w:numPr>
      <w:kinsoku/>
      <w:wordWrap/>
      <w:overflowPunct/>
      <w:topLinePunct w:val="0"/>
      <w:autoSpaceDE/>
      <w:autoSpaceDN/>
      <w:bidi w:val="0"/>
      <w:adjustRightInd w:val="0"/>
      <w:snapToGrid w:val="0"/>
      <w:spacing w:before="50" w:beforeLines="50" w:after="50" w:afterLines="50" w:line="288" w:lineRule="auto"/>
      <w:ind w:left="0" w:leftChars="0" w:firstLine="0" w:firstLineChars="0"/>
      <w:textAlignment w:val="auto"/>
      <w:outlineLvl w:val="8"/>
    </w:pPr>
    <w:rPr>
      <w:rFonts w:ascii="黑体" w:hAnsi="黑体" w:eastAsia="黑体" w:cs="Times New Roman"/>
      <w:color w:val="auto"/>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78"/>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Courier New" w:hAnsi="Courier New" w:eastAsia="宋体" w:cs="Courier New"/>
      <w:kern w:val="2"/>
      <w:sz w:val="24"/>
      <w:szCs w:val="24"/>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1"/>
        <w:numId w:val="3"/>
      </w:numPr>
      <w:tabs>
        <w:tab w:val="left" w:pos="419"/>
        <w:tab w:val="left" w:pos="1843"/>
        <w:tab w:val="clear" w:pos="420"/>
      </w:tabs>
      <w:spacing w:before="50" w:after="50"/>
      <w:ind w:firstLineChars="0"/>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98"/>
    <w:qFormat/>
    <w:uiPriority w:val="0"/>
    <w:pPr>
      <w:jc w:val="center"/>
    </w:pPr>
    <w:rPr>
      <w:rFonts w:ascii="汉仪正圆-45W" w:hAnsi="汉仪正圆-45W" w:eastAsia="汉仪正圆-45W" w:cstheme="minorBidi"/>
      <w:kern w:val="2"/>
      <w:sz w:val="22"/>
      <w:szCs w:val="22"/>
    </w:rPr>
  </w:style>
  <w:style w:type="paragraph" w:styleId="17">
    <w:name w:val="List Bullet 4"/>
    <w:basedOn w:val="1"/>
    <w:qFormat/>
    <w:uiPriority w:val="0"/>
    <w:pPr>
      <w:numPr>
        <w:ilvl w:val="0"/>
        <w:numId w:val="4"/>
      </w:numPr>
      <w:tabs>
        <w:tab w:val="clear" w:pos="420"/>
      </w:tabs>
      <w:spacing w:before="50" w:after="50"/>
      <w:ind w:left="1361" w:hanging="340"/>
    </w:pPr>
  </w:style>
  <w:style w:type="paragraph" w:styleId="18">
    <w:name w:val="index 8"/>
    <w:basedOn w:val="1"/>
    <w:next w:val="1"/>
    <w:qFormat/>
    <w:uiPriority w:val="0"/>
    <w:pPr>
      <w:ind w:left="1400" w:leftChars="1400" w:firstLine="0"/>
    </w:pPr>
  </w:style>
  <w:style w:type="paragraph" w:styleId="19">
    <w:name w:val="E-mail Signature"/>
    <w:basedOn w:val="1"/>
    <w:link w:val="177"/>
    <w:qFormat/>
    <w:uiPriority w:val="0"/>
    <w:rPr>
      <w:rFonts w:ascii="汉仪正圆-45W" w:hAnsi="汉仪正圆-45W" w:eastAsia="汉仪正圆-45W" w:cstheme="minorBidi"/>
      <w:kern w:val="2"/>
      <w:sz w:val="22"/>
      <w:szCs w:val="22"/>
    </w:rPr>
  </w:style>
  <w:style w:type="paragraph" w:styleId="20">
    <w:name w:val="List Number"/>
    <w:basedOn w:val="1"/>
    <w:link w:val="170"/>
    <w:qFormat/>
    <w:uiPriority w:val="0"/>
    <w:pPr>
      <w:numPr>
        <w:ilvl w:val="0"/>
        <w:numId w:val="3"/>
      </w:numPr>
      <w:tabs>
        <w:tab w:val="clear" w:pos="0"/>
      </w:tabs>
      <w:spacing w:before="50" w:after="50"/>
      <w:ind w:firstLineChars="0"/>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szCs w:val="20"/>
    </w:rPr>
  </w:style>
  <w:style w:type="paragraph" w:styleId="23">
    <w:name w:val="index 5"/>
    <w:basedOn w:val="1"/>
    <w:next w:val="1"/>
    <w:qFormat/>
    <w:uiPriority w:val="0"/>
    <w:pPr>
      <w:ind w:left="800" w:leftChars="800" w:firstLine="0"/>
    </w:pPr>
  </w:style>
  <w:style w:type="paragraph" w:styleId="24">
    <w:name w:val="List Bullet"/>
    <w:basedOn w:val="1"/>
    <w:link w:val="171"/>
    <w:qFormat/>
    <w:uiPriority w:val="0"/>
    <w:pPr>
      <w:numPr>
        <w:ilvl w:val="0"/>
        <w:numId w:val="5"/>
      </w:numPr>
      <w:tabs>
        <w:tab w:val="clear" w:pos="0"/>
      </w:tabs>
      <w:spacing w:before="50" w:after="50"/>
      <w:ind w:left="425" w:hanging="425"/>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85"/>
    <w:qFormat/>
    <w:uiPriority w:val="0"/>
    <w:rPr>
      <w:rFonts w:ascii="Microsoft YaHei UI" w:hAnsi="汉仪正圆-45W" w:eastAsia="Microsoft YaHei UI" w:cstheme="minorBidi"/>
      <w:kern w:val="2"/>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link w:val="175"/>
    <w:qFormat/>
    <w:uiPriority w:val="0"/>
    <w:pPr>
      <w:ind w:firstLine="0" w:firstLineChars="0"/>
    </w:pPr>
    <w:rPr>
      <w:rFonts w:ascii="汉仪正圆-45W" w:hAnsi="汉仪正圆-45W" w:eastAsia="宋体" w:cstheme="minorBidi"/>
      <w:kern w:val="2"/>
      <w:sz w:val="22"/>
      <w:szCs w:val="22"/>
    </w:rPr>
  </w:style>
  <w:style w:type="paragraph" w:styleId="31">
    <w:name w:val="Body Text 3"/>
    <w:basedOn w:val="1"/>
    <w:link w:val="191"/>
    <w:qFormat/>
    <w:uiPriority w:val="0"/>
    <w:pPr>
      <w:spacing w:after="120"/>
    </w:pPr>
    <w:rPr>
      <w:rFonts w:ascii="汉仪正圆-45W" w:hAnsi="汉仪正圆-45W" w:eastAsia="汉仪正圆-45W" w:cstheme="minorBidi"/>
      <w:kern w:val="2"/>
      <w:sz w:val="16"/>
      <w:szCs w:val="16"/>
    </w:rPr>
  </w:style>
  <w:style w:type="paragraph" w:styleId="32">
    <w:name w:val="Closing"/>
    <w:basedOn w:val="1"/>
    <w:link w:val="179"/>
    <w:qFormat/>
    <w:uiPriority w:val="0"/>
    <w:pPr>
      <w:ind w:left="100" w:leftChars="2100"/>
    </w:pPr>
    <w:rPr>
      <w:rFonts w:ascii="汉仪正圆-45W" w:hAnsi="汉仪正圆-45W" w:eastAsia="汉仪正圆-45W" w:cstheme="minorBidi"/>
      <w:kern w:val="2"/>
      <w:sz w:val="22"/>
      <w:szCs w:val="22"/>
    </w:rPr>
  </w:style>
  <w:style w:type="paragraph" w:styleId="33">
    <w:name w:val="List Bullet 3"/>
    <w:basedOn w:val="1"/>
    <w:qFormat/>
    <w:uiPriority w:val="0"/>
    <w:pPr>
      <w:numPr>
        <w:ilvl w:val="0"/>
        <w:numId w:val="6"/>
      </w:numPr>
      <w:tabs>
        <w:tab w:val="clear" w:pos="420"/>
      </w:tabs>
      <w:spacing w:before="50" w:after="50"/>
      <w:ind w:left="964" w:hanging="340"/>
    </w:pPr>
  </w:style>
  <w:style w:type="paragraph" w:styleId="34">
    <w:name w:val="Body Text"/>
    <w:basedOn w:val="1"/>
    <w:link w:val="192"/>
    <w:qFormat/>
    <w:uiPriority w:val="0"/>
    <w:rPr>
      <w:rFonts w:ascii="宋体" w:hAnsi="宋体" w:eastAsia="宋体" w:cs="宋体"/>
      <w:kern w:val="2"/>
      <w:sz w:val="28"/>
      <w:szCs w:val="28"/>
      <w:lang w:val="en-US" w:eastAsia="zh-CN" w:bidi="ar-SA"/>
    </w:rPr>
  </w:style>
  <w:style w:type="paragraph" w:styleId="35">
    <w:name w:val="Body Text Indent"/>
    <w:basedOn w:val="1"/>
    <w:link w:val="194"/>
    <w:qFormat/>
    <w:uiPriority w:val="0"/>
    <w:pPr>
      <w:spacing w:after="120"/>
      <w:ind w:left="420" w:leftChars="200"/>
    </w:pPr>
    <w:rPr>
      <w:rFonts w:ascii="汉仪正圆-45W" w:hAnsi="汉仪正圆-45W" w:eastAsia="汉仪正圆-45W" w:cstheme="minorBidi"/>
      <w:kern w:val="2"/>
      <w:sz w:val="22"/>
      <w:szCs w:val="22"/>
    </w:rPr>
  </w:style>
  <w:style w:type="paragraph" w:styleId="36">
    <w:name w:val="List Number 3"/>
    <w:basedOn w:val="1"/>
    <w:qFormat/>
    <w:uiPriority w:val="0"/>
    <w:pPr>
      <w:numPr>
        <w:ilvl w:val="2"/>
        <w:numId w:val="3"/>
      </w:numPr>
      <w:spacing w:before="50" w:after="50"/>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link w:val="172"/>
    <w:qFormat/>
    <w:uiPriority w:val="0"/>
    <w:pPr>
      <w:numPr>
        <w:ilvl w:val="0"/>
        <w:numId w:val="7"/>
      </w:numPr>
      <w:tabs>
        <w:tab w:val="clear" w:pos="0"/>
      </w:tabs>
      <w:spacing w:before="50" w:after="50"/>
      <w:ind w:left="646" w:hanging="227"/>
    </w:pPr>
  </w:style>
  <w:style w:type="paragraph" w:styleId="41">
    <w:name w:val="HTML Address"/>
    <w:basedOn w:val="1"/>
    <w:link w:val="173"/>
    <w:qFormat/>
    <w:uiPriority w:val="0"/>
    <w:rPr>
      <w:rFonts w:ascii="汉仪正圆-45W" w:hAnsi="汉仪正圆-45W" w:eastAsia="汉仪正圆-45W" w:cstheme="minorBidi"/>
      <w:i/>
      <w:iCs/>
      <w:kern w:val="2"/>
      <w:sz w:val="22"/>
      <w:szCs w:val="22"/>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firstLine="0" w:firstLineChars="0"/>
    </w:pPr>
  </w:style>
  <w:style w:type="paragraph" w:styleId="44">
    <w:name w:val="toc 3"/>
    <w:basedOn w:val="1"/>
    <w:next w:val="1"/>
    <w:qFormat/>
    <w:uiPriority w:val="0"/>
    <w:pPr>
      <w:ind w:left="840" w:leftChars="400" w:firstLine="0" w:firstLineChars="0"/>
    </w:pPr>
  </w:style>
  <w:style w:type="paragraph" w:styleId="45">
    <w:name w:val="Plain Text"/>
    <w:basedOn w:val="1"/>
    <w:link w:val="176"/>
    <w:qFormat/>
    <w:uiPriority w:val="0"/>
    <w:rPr>
      <w:rFonts w:hAnsi="Courier New" w:cs="Courier New" w:asciiTheme="minorEastAsia" w:eastAsiaTheme="minorEastAsia"/>
      <w:kern w:val="2"/>
      <w:sz w:val="22"/>
      <w:szCs w:val="22"/>
    </w:rPr>
  </w:style>
  <w:style w:type="paragraph" w:styleId="46">
    <w:name w:val="List Bullet 5"/>
    <w:basedOn w:val="1"/>
    <w:qFormat/>
    <w:uiPriority w:val="0"/>
    <w:pPr>
      <w:numPr>
        <w:ilvl w:val="0"/>
        <w:numId w:val="8"/>
      </w:numPr>
      <w:tabs>
        <w:tab w:val="clear" w:pos="420"/>
      </w:tabs>
      <w:spacing w:before="50" w:after="50"/>
      <w:ind w:left="1757" w:hanging="340"/>
    </w:pPr>
  </w:style>
  <w:style w:type="paragraph" w:styleId="47">
    <w:name w:val="List Number 4"/>
    <w:basedOn w:val="1"/>
    <w:qFormat/>
    <w:uiPriority w:val="0"/>
    <w:pPr>
      <w:numPr>
        <w:ilvl w:val="3"/>
        <w:numId w:val="3"/>
      </w:numPr>
      <w:tabs>
        <w:tab w:val="left" w:pos="-420"/>
        <w:tab w:val="left" w:pos="0"/>
        <w:tab w:val="clear" w:pos="420"/>
      </w:tabs>
      <w:spacing w:before="50" w:after="50"/>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84"/>
    <w:qFormat/>
    <w:uiPriority w:val="0"/>
    <w:pPr>
      <w:ind w:left="0" w:leftChars="0" w:firstLine="0" w:firstLineChars="0"/>
      <w:jc w:val="right"/>
    </w:pPr>
    <w:rPr>
      <w:rFonts w:ascii="汉仪正圆-45W" w:hAnsi="汉仪正圆-45W" w:eastAsia="宋体" w:cstheme="minorBidi"/>
      <w:kern w:val="2"/>
      <w:sz w:val="22"/>
      <w:szCs w:val="22"/>
    </w:rPr>
  </w:style>
  <w:style w:type="paragraph" w:styleId="51">
    <w:name w:val="Body Text Indent 2"/>
    <w:basedOn w:val="1"/>
    <w:link w:val="196"/>
    <w:qFormat/>
    <w:uiPriority w:val="0"/>
    <w:pPr>
      <w:spacing w:after="120" w:line="480" w:lineRule="auto"/>
      <w:ind w:left="420" w:leftChars="200"/>
    </w:pPr>
    <w:rPr>
      <w:rFonts w:ascii="汉仪正圆-45W" w:hAnsi="汉仪正圆-45W" w:eastAsia="汉仪正圆-45W" w:cstheme="minorBidi"/>
      <w:kern w:val="2"/>
      <w:sz w:val="22"/>
      <w:szCs w:val="22"/>
    </w:r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link w:val="200"/>
    <w:qFormat/>
    <w:uiPriority w:val="0"/>
    <w:pPr>
      <w:ind w:firstLine="0" w:firstLineChars="0"/>
    </w:pPr>
    <w:rPr>
      <w:sz w:val="18"/>
      <w:szCs w:val="18"/>
    </w:rPr>
  </w:style>
  <w:style w:type="paragraph" w:styleId="55">
    <w:name w:val="footer"/>
    <w:basedOn w:val="1"/>
    <w:qFormat/>
    <w:uiPriority w:val="0"/>
    <w:pPr>
      <w:tabs>
        <w:tab w:val="center" w:pos="4153"/>
        <w:tab w:val="right" w:pos="8306"/>
      </w:tabs>
      <w:ind w:firstLine="0" w:firstLineChars="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szCs w:val="18"/>
    </w:rPr>
  </w:style>
  <w:style w:type="paragraph" w:styleId="58">
    <w:name w:val="Signature"/>
    <w:basedOn w:val="1"/>
    <w:link w:val="183"/>
    <w:qFormat/>
    <w:uiPriority w:val="0"/>
    <w:pPr>
      <w:ind w:left="0" w:leftChars="0" w:firstLine="0" w:firstLineChars="0"/>
      <w:jc w:val="right"/>
    </w:pPr>
    <w:rPr>
      <w:rFonts w:ascii="汉仪正圆-45W" w:hAnsi="汉仪正圆-45W" w:eastAsia="宋体" w:cstheme="minorBidi"/>
      <w:kern w:val="2"/>
      <w:sz w:val="22"/>
      <w:szCs w:val="22"/>
    </w:rPr>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firstLine="0" w:firstLineChars="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34"/>
    <w:link w:val="101"/>
    <w:qFormat/>
    <w:uiPriority w:val="0"/>
    <w:pPr>
      <w:bidi w:val="0"/>
      <w:adjustRightInd w:val="0"/>
      <w:snapToGrid w:val="0"/>
      <w:spacing w:before="50" w:beforeLines="50" w:after="150" w:afterLines="150"/>
      <w:jc w:val="center"/>
      <w:outlineLvl w:val="1"/>
    </w:pPr>
    <w:rPr>
      <w:rFonts w:ascii="Times New Roman" w:hAnsi="Times New Roman" w:eastAsia="黑体" w:cs="Times New Roman"/>
      <w:color w:val="auto"/>
      <w:spacing w:val="11"/>
      <w:kern w:val="28"/>
      <w:sz w:val="36"/>
      <w:szCs w:val="36"/>
      <w:lang w:val="en-US" w:eastAsia="zh-CN" w:bidi="ar-SA"/>
    </w:rPr>
  </w:style>
  <w:style w:type="paragraph" w:styleId="65">
    <w:name w:val="List Number 5"/>
    <w:basedOn w:val="1"/>
    <w:qFormat/>
    <w:uiPriority w:val="0"/>
    <w:pPr>
      <w:numPr>
        <w:ilvl w:val="4"/>
        <w:numId w:val="3"/>
      </w:numPr>
      <w:tabs>
        <w:tab w:val="clear" w:pos="420"/>
      </w:tabs>
      <w:spacing w:before="50" w:after="50"/>
      <w:ind w:left="431" w:hanging="431"/>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24"/>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97"/>
    <w:qFormat/>
    <w:uiPriority w:val="0"/>
    <w:pPr>
      <w:spacing w:after="120"/>
      <w:ind w:left="420" w:leftChars="200"/>
    </w:pPr>
    <w:rPr>
      <w:rFonts w:ascii="汉仪正圆-45W" w:hAnsi="汉仪正圆-45W" w:eastAsia="汉仪正圆-45W" w:cstheme="minorBidi"/>
      <w:kern w:val="2"/>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4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90"/>
    <w:qFormat/>
    <w:uiPriority w:val="0"/>
    <w:pPr>
      <w:spacing w:after="120" w:line="480" w:lineRule="auto"/>
    </w:pPr>
    <w:rPr>
      <w:rFonts w:ascii="汉仪正圆-45W" w:hAnsi="汉仪正圆-45W" w:eastAsia="汉仪正圆-45W" w:cstheme="minorBidi"/>
      <w:kern w:val="2"/>
      <w:sz w:val="22"/>
      <w:szCs w:val="22"/>
    </w:r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8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kern w:val="2"/>
      <w:sz w:val="24"/>
      <w:szCs w:val="24"/>
      <w:shd w:val="pct20" w:color="auto" w:fill="auto"/>
    </w:rPr>
  </w:style>
  <w:style w:type="paragraph" w:styleId="80">
    <w:name w:val="HTML Preformatted"/>
    <w:basedOn w:val="1"/>
    <w:link w:val="174"/>
    <w:qFormat/>
    <w:uiPriority w:val="0"/>
    <w:rPr>
      <w:rFonts w:ascii="Courier New" w:hAnsi="Courier New" w:eastAsia="汉仪正圆-45W" w:cs="Courier New"/>
      <w:kern w:val="2"/>
    </w:rPr>
  </w:style>
  <w:style w:type="paragraph" w:styleId="81">
    <w:name w:val="Normal (Web)"/>
    <w:basedOn w:val="1"/>
    <w:qFormat/>
    <w:uiPriority w:val="0"/>
    <w:rPr>
      <w:rFonts w:ascii="Times New Roman" w:hAnsi="Times New Roman" w:cs="Times New Roman"/>
      <w:sz w:val="24"/>
      <w:szCs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0"/>
    <w:qFormat/>
    <w:uiPriority w:val="10"/>
    <w:pPr>
      <w:bidi w:val="0"/>
      <w:adjustRightInd w:val="0"/>
      <w:snapToGrid w:val="0"/>
      <w:spacing w:before="50" w:beforeLines="50" w:after="100" w:afterLines="100" w:line="240" w:lineRule="auto"/>
      <w:jc w:val="center"/>
      <w:outlineLvl w:val="0"/>
    </w:pPr>
    <w:rPr>
      <w:rFonts w:ascii="Times New Roman" w:hAnsi="Times New Roman" w:eastAsia="黑体" w:cs="Times New Roman"/>
      <w:b/>
      <w:bCs/>
      <w:color w:val="auto"/>
      <w:spacing w:val="11"/>
      <w:sz w:val="44"/>
      <w:szCs w:val="44"/>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93"/>
    <w:qFormat/>
    <w:uiPriority w:val="0"/>
    <w:pPr>
      <w:spacing w:before="0" w:after="120" w:afterLines="0"/>
      <w:ind w:firstLine="420" w:firstLineChars="100"/>
    </w:pPr>
    <w:rPr>
      <w:rFonts w:ascii="汉仪正圆-45W" w:hAnsi="汉仪正圆-45W" w:eastAsia="汉仪正圆-45W" w:cstheme="minorBidi"/>
      <w:kern w:val="2"/>
      <w:sz w:val="22"/>
      <w:szCs w:val="22"/>
    </w:rPr>
  </w:style>
  <w:style w:type="paragraph" w:styleId="87">
    <w:name w:val="Body Text First Indent 2"/>
    <w:basedOn w:val="35"/>
    <w:link w:val="195"/>
    <w:qFormat/>
    <w:uiPriority w:val="0"/>
    <w:pPr>
      <w:ind w:firstLine="420"/>
    </w:pPr>
    <w:rPr>
      <w:rFonts w:ascii="汉仪正圆-45W" w:hAnsi="汉仪正圆-45W" w:eastAsia="汉仪正圆-45W" w:cstheme="minorBidi"/>
      <w:kern w:val="2"/>
      <w:sz w:val="22"/>
      <w:szCs w:val="22"/>
    </w:rPr>
  </w:style>
  <w:style w:type="character" w:styleId="90">
    <w:name w:val="Strong"/>
    <w:basedOn w:val="89"/>
    <w:qFormat/>
    <w:uiPriority w:val="22"/>
    <w:rPr>
      <w:rFonts w:ascii="宋体" w:hAnsi="宋体" w:eastAsia="宋体" w:cs="Times New Roman"/>
      <w:b/>
      <w:bCs/>
      <w:color w:val="252525" w:themeColor="text1" w:themeTint="D9"/>
      <w:sz w:val="24"/>
      <w:szCs w:val="24"/>
      <w:u w:val="none"/>
    </w:rPr>
  </w:style>
  <w:style w:type="character" w:styleId="91">
    <w:name w:val="endnote reference"/>
    <w:basedOn w:val="89"/>
    <w:qFormat/>
    <w:uiPriority w:val="0"/>
    <w:rPr>
      <w:rFonts w:ascii="宋体" w:hAnsi="宋体" w:eastAsia="宋体" w:cs="Times New Roman"/>
      <w:color w:val="252525" w:themeColor="text1" w:themeTint="D9"/>
      <w:kern w:val="2"/>
      <w:sz w:val="28"/>
      <w:szCs w:val="28"/>
      <w:vertAlign w:val="superscript"/>
      <w:lang w:val="en-US" w:eastAsia="zh-CN" w:bidi="ar-SA"/>
    </w:rPr>
  </w:style>
  <w:style w:type="character" w:styleId="92">
    <w:name w:val="page number"/>
    <w:basedOn w:val="89"/>
    <w:qFormat/>
    <w:uiPriority w:val="0"/>
    <w:rPr>
      <w:rFonts w:ascii="宋体" w:hAnsi="宋体" w:eastAsia="宋体" w:cs="Times New Roman"/>
      <w:color w:val="3F3F3F" w:themeColor="text1" w:themeTint="BF"/>
      <w:kern w:val="2"/>
      <w:sz w:val="18"/>
      <w:szCs w:val="18"/>
      <w:lang w:val="en-US" w:eastAsia="zh-CN" w:bidi="ar-SA"/>
    </w:rPr>
  </w:style>
  <w:style w:type="character" w:styleId="93">
    <w:name w:val="FollowedHyperlink"/>
    <w:basedOn w:val="89"/>
    <w:qFormat/>
    <w:uiPriority w:val="0"/>
    <w:rPr>
      <w:rFonts w:ascii="宋体" w:hAnsi="宋体" w:eastAsia="宋体" w:cs="Times New Roman"/>
      <w:color w:val="800080"/>
      <w:kern w:val="2"/>
      <w:sz w:val="24"/>
      <w:szCs w:val="24"/>
      <w:u w:val="single"/>
      <w:lang w:val="en-US" w:eastAsia="zh-CN" w:bidi="ar-SA"/>
    </w:rPr>
  </w:style>
  <w:style w:type="character" w:styleId="94">
    <w:name w:val="Emphasis"/>
    <w:basedOn w:val="89"/>
    <w:qFormat/>
    <w:uiPriority w:val="20"/>
    <w:rPr>
      <w:rFonts w:ascii="宋体" w:hAnsi="宋体" w:eastAsia="宋体" w:cs="Times New Roman"/>
      <w:color w:val="C00000"/>
      <w:sz w:val="24"/>
      <w:szCs w:val="24"/>
    </w:rPr>
  </w:style>
  <w:style w:type="character" w:styleId="95">
    <w:name w:val="Hyperlink"/>
    <w:basedOn w:val="89"/>
    <w:qFormat/>
    <w:uiPriority w:val="0"/>
    <w:rPr>
      <w:rFonts w:ascii="宋体" w:hAnsi="宋体" w:eastAsia="宋体" w:cs="Times New Roman"/>
      <w:color w:val="0000FF"/>
      <w:kern w:val="2"/>
      <w:sz w:val="24"/>
      <w:szCs w:val="24"/>
      <w:u w:val="single"/>
      <w:lang w:val="en-US" w:eastAsia="zh-CN" w:bidi="ar-SA"/>
    </w:rPr>
  </w:style>
  <w:style w:type="character" w:styleId="96">
    <w:name w:val="annotation reference"/>
    <w:basedOn w:val="89"/>
    <w:qFormat/>
    <w:uiPriority w:val="0"/>
    <w:rPr>
      <w:rFonts w:ascii="宋体" w:hAnsi="宋体" w:eastAsia="宋体" w:cs="宋体"/>
      <w:kern w:val="2"/>
      <w:sz w:val="21"/>
      <w:szCs w:val="21"/>
      <w:lang w:val="en-US" w:eastAsia="zh-CN" w:bidi="ar-SA"/>
    </w:rPr>
  </w:style>
  <w:style w:type="character" w:styleId="97">
    <w:name w:val="footnote reference"/>
    <w:basedOn w:val="89"/>
    <w:qFormat/>
    <w:uiPriority w:val="0"/>
    <w:rPr>
      <w:rFonts w:ascii="宋体" w:hAnsi="宋体" w:eastAsia="宋体" w:cs="Times New Roman"/>
      <w:color w:val="252525" w:themeColor="text1" w:themeTint="D9"/>
      <w:kern w:val="2"/>
      <w:sz w:val="28"/>
      <w:szCs w:val="28"/>
      <w:vertAlign w:val="superscript"/>
      <w:lang w:val="en-US" w:eastAsia="zh-CN" w:bidi="ar-SA"/>
    </w:rPr>
  </w:style>
  <w:style w:type="paragraph" w:customStyle="1" w:styleId="98">
    <w:name w:val="First Paragraph"/>
    <w:basedOn w:val="34"/>
    <w:next w:val="34"/>
    <w:qFormat/>
    <w:uiPriority w:val="0"/>
  </w:style>
  <w:style w:type="paragraph" w:customStyle="1" w:styleId="99">
    <w:name w:val="Compact"/>
    <w:basedOn w:val="34"/>
    <w:qFormat/>
    <w:uiPriority w:val="0"/>
    <w:pPr>
      <w:spacing w:before="36" w:after="36"/>
    </w:pPr>
  </w:style>
  <w:style w:type="character" w:customStyle="1" w:styleId="100">
    <w:name w:val="Title Char"/>
    <w:link w:val="84"/>
    <w:qFormat/>
    <w:uiPriority w:val="10"/>
    <w:rPr>
      <w:rFonts w:ascii="Times New Roman" w:hAnsi="Times New Roman" w:eastAsia="黑体" w:cs="Times New Roman"/>
      <w:b/>
      <w:bCs/>
      <w:color w:val="auto"/>
      <w:spacing w:val="11"/>
      <w:sz w:val="44"/>
      <w:szCs w:val="44"/>
      <w:lang w:val="en-US" w:eastAsia="zh-CN" w:bidi="ar-SA"/>
    </w:rPr>
  </w:style>
  <w:style w:type="character" w:customStyle="1" w:styleId="101">
    <w:name w:val="Subtitle Char"/>
    <w:link w:val="64"/>
    <w:qFormat/>
    <w:uiPriority w:val="11"/>
    <w:rPr>
      <w:rFonts w:ascii="Times New Roman" w:hAnsi="Times New Roman" w:eastAsia="黑体" w:cs="Times New Roman"/>
      <w:color w:val="auto"/>
      <w:spacing w:val="11"/>
      <w:kern w:val="28"/>
      <w:sz w:val="36"/>
      <w:szCs w:val="36"/>
      <w:lang w:val="en-US" w:eastAsia="zh-CN" w:bidi="ar-SA"/>
    </w:rPr>
  </w:style>
  <w:style w:type="paragraph" w:customStyle="1" w:styleId="102">
    <w:name w:val="Author"/>
    <w:next w:val="3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103">
    <w:name w:val="Abstract Title"/>
    <w:basedOn w:val="1"/>
    <w:next w:val="104"/>
    <w:qFormat/>
    <w:uiPriority w:val="0"/>
    <w:pPr>
      <w:keepNext/>
      <w:keepLines/>
      <w:spacing w:before="300" w:after="0"/>
      <w:jc w:val="center"/>
    </w:pPr>
    <w:rPr>
      <w:b/>
      <w:sz w:val="20"/>
      <w:szCs w:val="20"/>
    </w:rPr>
  </w:style>
  <w:style w:type="paragraph" w:customStyle="1" w:styleId="104">
    <w:name w:val="Abstract"/>
    <w:basedOn w:val="1"/>
    <w:next w:val="34"/>
    <w:qFormat/>
    <w:uiPriority w:val="0"/>
    <w:pPr>
      <w:keepNext/>
      <w:keepLines/>
      <w:spacing w:before="100" w:after="300"/>
    </w:pPr>
    <w:rPr>
      <w:sz w:val="20"/>
      <w:szCs w:val="20"/>
    </w:rPr>
  </w:style>
  <w:style w:type="paragraph" w:customStyle="1" w:styleId="105">
    <w:name w:val="Bibliography"/>
    <w:basedOn w:val="1"/>
    <w:next w:val="1"/>
    <w:semiHidden/>
    <w:unhideWhenUsed/>
    <w:qFormat/>
    <w:uiPriority w:val="37"/>
  </w:style>
  <w:style w:type="character" w:customStyle="1" w:styleId="106">
    <w:name w:val="Heading 1 Char"/>
    <w:link w:val="3"/>
    <w:qFormat/>
    <w:uiPriority w:val="9"/>
    <w:rPr>
      <w:rFonts w:ascii="黑体" w:hAnsi="黑体" w:eastAsia="黑体" w:cs="Times New Roman"/>
      <w:b/>
      <w:bCs/>
      <w:color w:val="auto"/>
      <w:kern w:val="44"/>
      <w:sz w:val="32"/>
      <w:szCs w:val="32"/>
      <w:lang w:val="en-US" w:eastAsia="zh-CN" w:bidi="ar-SA"/>
    </w:rPr>
  </w:style>
  <w:style w:type="character" w:customStyle="1" w:styleId="107">
    <w:name w:val="Heading 2 Char"/>
    <w:link w:val="4"/>
    <w:semiHidden/>
    <w:qFormat/>
    <w:uiPriority w:val="9"/>
    <w:rPr>
      <w:rFonts w:ascii="黑体" w:hAnsi="黑体" w:eastAsia="黑体" w:cs="Times New Roman"/>
      <w:b/>
      <w:bCs/>
      <w:color w:val="auto"/>
      <w:kern w:val="2"/>
      <w:sz w:val="30"/>
      <w:szCs w:val="30"/>
      <w:lang w:val="en-US" w:eastAsia="zh-CN" w:bidi="ar-SA"/>
    </w:rPr>
  </w:style>
  <w:style w:type="character" w:customStyle="1" w:styleId="108">
    <w:name w:val="Heading 3 Char"/>
    <w:link w:val="5"/>
    <w:semiHidden/>
    <w:qFormat/>
    <w:uiPriority w:val="9"/>
    <w:rPr>
      <w:rFonts w:ascii="黑体" w:hAnsi="黑体" w:eastAsia="黑体" w:cs="Times New Roman"/>
      <w:b/>
      <w:bCs/>
      <w:color w:val="auto"/>
      <w:kern w:val="2"/>
      <w:sz w:val="28"/>
      <w:szCs w:val="28"/>
      <w:lang w:val="en-US" w:eastAsia="zh-CN" w:bidi="ar-SA"/>
    </w:rPr>
  </w:style>
  <w:style w:type="character" w:customStyle="1" w:styleId="109">
    <w:name w:val="Heading 4 Char"/>
    <w:link w:val="6"/>
    <w:semiHidden/>
    <w:qFormat/>
    <w:uiPriority w:val="9"/>
    <w:rPr>
      <w:rFonts w:ascii="黑体" w:hAnsi="黑体" w:eastAsia="黑体" w:cs="Times New Roman"/>
      <w:b/>
      <w:bCs/>
      <w:color w:val="auto"/>
      <w:sz w:val="28"/>
      <w:szCs w:val="28"/>
      <w:lang w:val="en-US" w:eastAsia="zh-CN" w:bidi="ar-SA"/>
    </w:rPr>
  </w:style>
  <w:style w:type="character" w:customStyle="1" w:styleId="110">
    <w:name w:val="Heading 5 Char"/>
    <w:link w:val="7"/>
    <w:semiHidden/>
    <w:qFormat/>
    <w:uiPriority w:val="9"/>
    <w:rPr>
      <w:rFonts w:ascii="黑体" w:hAnsi="黑体" w:eastAsia="黑体" w:cs="Times New Roman"/>
      <w:b/>
      <w:bCs/>
      <w:color w:val="252525" w:themeColor="text1" w:themeTint="D9"/>
      <w:sz w:val="28"/>
      <w:szCs w:val="28"/>
      <w:lang w:val="en-US" w:eastAsia="zh-CN" w:bidi="ar-SA"/>
    </w:rPr>
  </w:style>
  <w:style w:type="character" w:customStyle="1" w:styleId="111">
    <w:name w:val="Heading 6 Char"/>
    <w:link w:val="8"/>
    <w:semiHidden/>
    <w:qFormat/>
    <w:uiPriority w:val="9"/>
    <w:rPr>
      <w:rFonts w:ascii="黑体" w:hAnsi="黑体" w:eastAsia="黑体" w:cs="黑体"/>
      <w:b/>
      <w:bCs/>
      <w:color w:val="auto"/>
      <w:sz w:val="24"/>
      <w:szCs w:val="24"/>
      <w:lang w:val="en-US" w:eastAsia="zh-CN" w:bidi="ar-SA"/>
    </w:rPr>
  </w:style>
  <w:style w:type="character" w:customStyle="1" w:styleId="112">
    <w:name w:val="Heading 7 Char"/>
    <w:link w:val="9"/>
    <w:semiHidden/>
    <w:qFormat/>
    <w:uiPriority w:val="9"/>
    <w:rPr>
      <w:rFonts w:ascii="黑体" w:hAnsi="黑体" w:eastAsia="黑体" w:cs="Times New Roman"/>
      <w:b/>
      <w:bCs/>
      <w:color w:val="auto"/>
      <w:sz w:val="24"/>
      <w:szCs w:val="24"/>
      <w:lang w:val="en-US" w:eastAsia="zh-CN" w:bidi="ar-SA"/>
    </w:rPr>
  </w:style>
  <w:style w:type="character" w:customStyle="1" w:styleId="113">
    <w:name w:val="Heading 8 Char"/>
    <w:link w:val="10"/>
    <w:semiHidden/>
    <w:qFormat/>
    <w:uiPriority w:val="9"/>
    <w:rPr>
      <w:rFonts w:ascii="黑体" w:hAnsi="黑体" w:eastAsia="黑体" w:cs="Times New Roman"/>
      <w:color w:val="auto"/>
      <w:sz w:val="24"/>
      <w:szCs w:val="24"/>
      <w:lang w:val="en-US" w:eastAsia="zh-CN" w:bidi="ar-SA"/>
    </w:rPr>
  </w:style>
  <w:style w:type="character" w:customStyle="1" w:styleId="114">
    <w:name w:val="Heading 9 Char"/>
    <w:link w:val="11"/>
    <w:semiHidden/>
    <w:qFormat/>
    <w:uiPriority w:val="9"/>
    <w:rPr>
      <w:rFonts w:ascii="黑体" w:hAnsi="黑体" w:eastAsia="黑体" w:cs="Times New Roman"/>
      <w:color w:val="auto"/>
      <w:sz w:val="24"/>
      <w:szCs w:val="24"/>
      <w:lang w:val="en-US" w:eastAsia="zh-CN" w:bidi="ar-SA"/>
    </w:rPr>
  </w:style>
  <w:style w:type="paragraph" w:customStyle="1" w:styleId="115">
    <w:name w:val="Footnote Block Text"/>
    <w:basedOn w:val="67"/>
    <w:next w:val="67"/>
    <w:unhideWhenUsed/>
    <w:qFormat/>
    <w:uiPriority w:val="9"/>
    <w:pPr>
      <w:spacing w:before="100" w:after="100"/>
      <w:ind w:left="480" w:right="480" w:firstLine="0"/>
    </w:pPr>
  </w:style>
  <w:style w:type="table" w:customStyle="1" w:styleId="11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17">
    <w:name w:val="Definition Term"/>
    <w:basedOn w:val="1"/>
    <w:next w:val="118"/>
    <w:qFormat/>
    <w:uiPriority w:val="0"/>
    <w:pPr>
      <w:keepNext/>
      <w:keepLines/>
      <w:spacing w:after="0"/>
    </w:pPr>
    <w:rPr>
      <w:b/>
    </w:rPr>
  </w:style>
  <w:style w:type="paragraph" w:customStyle="1" w:styleId="118">
    <w:name w:val="Definition"/>
    <w:basedOn w:val="1"/>
    <w:qFormat/>
    <w:uiPriority w:val="0"/>
  </w:style>
  <w:style w:type="paragraph" w:customStyle="1" w:styleId="119">
    <w:name w:val="Table Caption"/>
    <w:basedOn w:val="22"/>
    <w:qFormat/>
    <w:uiPriority w:val="0"/>
    <w:pPr>
      <w:keepNext/>
    </w:pPr>
  </w:style>
  <w:style w:type="paragraph" w:customStyle="1" w:styleId="120">
    <w:name w:val="Image Caption"/>
    <w:basedOn w:val="22"/>
    <w:qFormat/>
    <w:uiPriority w:val="0"/>
  </w:style>
  <w:style w:type="paragraph" w:customStyle="1" w:styleId="121">
    <w:name w:val="Figure"/>
    <w:basedOn w:val="1"/>
    <w:qFormat/>
    <w:uiPriority w:val="0"/>
  </w:style>
  <w:style w:type="paragraph" w:customStyle="1" w:styleId="122">
    <w:name w:val="Captioned Figure"/>
    <w:basedOn w:val="121"/>
    <w:qFormat/>
    <w:uiPriority w:val="0"/>
    <w:pPr>
      <w:keepNext/>
    </w:pPr>
  </w:style>
  <w:style w:type="character" w:customStyle="1" w:styleId="123">
    <w:name w:val="Body Text Char"/>
    <w:link w:val="34"/>
    <w:qFormat/>
    <w:uiPriority w:val="0"/>
  </w:style>
  <w:style w:type="character" w:customStyle="1" w:styleId="124">
    <w:name w:val="Verbatim Char"/>
    <w:basedOn w:val="123"/>
    <w:link w:val="125"/>
    <w:qFormat/>
    <w:uiPriority w:val="0"/>
    <w:rPr>
      <w:rFonts w:ascii="Consolas" w:hAnsi="Consolas"/>
      <w:sz w:val="22"/>
    </w:rPr>
  </w:style>
  <w:style w:type="paragraph" w:customStyle="1" w:styleId="125">
    <w:name w:val="Source Code"/>
    <w:basedOn w:val="1"/>
    <w:link w:val="124"/>
    <w:qFormat/>
    <w:uiPriority w:val="0"/>
    <w:pPr>
      <w:wordWrap w:val="0"/>
    </w:pPr>
  </w:style>
  <w:style w:type="character" w:customStyle="1" w:styleId="126">
    <w:name w:val="Section Number"/>
    <w:basedOn w:val="123"/>
    <w:qFormat/>
    <w:uiPriority w:val="0"/>
  </w:style>
  <w:style w:type="paragraph" w:customStyle="1" w:styleId="127">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rFonts w:ascii="汉仪正圆-45W" w:hAnsi="汉仪正圆-45W" w:eastAsia="汉仪正圆-45W"/>
      <w:sz w:val="44"/>
      <w:szCs w:val="44"/>
    </w:rPr>
  </w:style>
  <w:style w:type="character" w:customStyle="1" w:styleId="128">
    <w:name w:val="KeywordTok"/>
    <w:basedOn w:val="124"/>
    <w:qFormat/>
    <w:uiPriority w:val="0"/>
    <w:rPr>
      <w:b/>
      <w:color w:val="007020"/>
    </w:rPr>
  </w:style>
  <w:style w:type="character" w:customStyle="1" w:styleId="129">
    <w:name w:val="DataTypeTok"/>
    <w:basedOn w:val="124"/>
    <w:qFormat/>
    <w:uiPriority w:val="0"/>
    <w:rPr>
      <w:color w:val="902000"/>
    </w:rPr>
  </w:style>
  <w:style w:type="character" w:customStyle="1" w:styleId="130">
    <w:name w:val="DecValTok"/>
    <w:basedOn w:val="124"/>
    <w:qFormat/>
    <w:uiPriority w:val="0"/>
    <w:rPr>
      <w:color w:val="40A070"/>
    </w:rPr>
  </w:style>
  <w:style w:type="character" w:customStyle="1" w:styleId="131">
    <w:name w:val="BaseNTok"/>
    <w:basedOn w:val="124"/>
    <w:qFormat/>
    <w:uiPriority w:val="0"/>
    <w:rPr>
      <w:color w:val="40A070"/>
    </w:rPr>
  </w:style>
  <w:style w:type="character" w:customStyle="1" w:styleId="132">
    <w:name w:val="FloatTok"/>
    <w:basedOn w:val="124"/>
    <w:qFormat/>
    <w:uiPriority w:val="0"/>
    <w:rPr>
      <w:color w:val="40A070"/>
    </w:rPr>
  </w:style>
  <w:style w:type="character" w:customStyle="1" w:styleId="133">
    <w:name w:val="ConstantTok"/>
    <w:basedOn w:val="124"/>
    <w:qFormat/>
    <w:uiPriority w:val="0"/>
    <w:rPr>
      <w:color w:val="880000"/>
    </w:rPr>
  </w:style>
  <w:style w:type="character" w:customStyle="1" w:styleId="134">
    <w:name w:val="CharTok"/>
    <w:basedOn w:val="124"/>
    <w:qFormat/>
    <w:uiPriority w:val="0"/>
    <w:rPr>
      <w:color w:val="4070A0"/>
    </w:rPr>
  </w:style>
  <w:style w:type="character" w:customStyle="1" w:styleId="135">
    <w:name w:val="SpecialCharTok"/>
    <w:basedOn w:val="124"/>
    <w:qFormat/>
    <w:uiPriority w:val="0"/>
    <w:rPr>
      <w:color w:val="4070A0"/>
    </w:rPr>
  </w:style>
  <w:style w:type="character" w:customStyle="1" w:styleId="136">
    <w:name w:val="StringTok"/>
    <w:basedOn w:val="124"/>
    <w:qFormat/>
    <w:uiPriority w:val="0"/>
    <w:rPr>
      <w:color w:val="4070A0"/>
    </w:rPr>
  </w:style>
  <w:style w:type="character" w:customStyle="1" w:styleId="137">
    <w:name w:val="VerbatimStringTok"/>
    <w:basedOn w:val="124"/>
    <w:qFormat/>
    <w:uiPriority w:val="0"/>
    <w:rPr>
      <w:color w:val="4070A0"/>
    </w:rPr>
  </w:style>
  <w:style w:type="character" w:customStyle="1" w:styleId="138">
    <w:name w:val="SpecialStringTok"/>
    <w:basedOn w:val="124"/>
    <w:qFormat/>
    <w:uiPriority w:val="0"/>
    <w:rPr>
      <w:color w:val="BB6688"/>
    </w:rPr>
  </w:style>
  <w:style w:type="character" w:customStyle="1" w:styleId="139">
    <w:name w:val="ImportTok"/>
    <w:basedOn w:val="124"/>
    <w:qFormat/>
    <w:uiPriority w:val="0"/>
    <w:rPr>
      <w:b/>
      <w:color w:val="008000"/>
    </w:rPr>
  </w:style>
  <w:style w:type="character" w:customStyle="1" w:styleId="140">
    <w:name w:val="CommentTok"/>
    <w:basedOn w:val="124"/>
    <w:qFormat/>
    <w:uiPriority w:val="0"/>
    <w:rPr>
      <w:i/>
      <w:color w:val="60A0B0"/>
    </w:rPr>
  </w:style>
  <w:style w:type="character" w:customStyle="1" w:styleId="141">
    <w:name w:val="DocumentationTok"/>
    <w:basedOn w:val="124"/>
    <w:qFormat/>
    <w:uiPriority w:val="0"/>
    <w:rPr>
      <w:i/>
      <w:color w:val="BA2121"/>
    </w:rPr>
  </w:style>
  <w:style w:type="character" w:customStyle="1" w:styleId="142">
    <w:name w:val="AnnotationTok"/>
    <w:basedOn w:val="124"/>
    <w:qFormat/>
    <w:uiPriority w:val="0"/>
    <w:rPr>
      <w:b/>
      <w:i/>
      <w:color w:val="60A0B0"/>
    </w:rPr>
  </w:style>
  <w:style w:type="character" w:customStyle="1" w:styleId="143">
    <w:name w:val="CommentVarTok"/>
    <w:basedOn w:val="124"/>
    <w:qFormat/>
    <w:uiPriority w:val="0"/>
    <w:rPr>
      <w:b/>
      <w:i/>
      <w:color w:val="60A0B0"/>
    </w:rPr>
  </w:style>
  <w:style w:type="character" w:customStyle="1" w:styleId="144">
    <w:name w:val="OtherTok"/>
    <w:basedOn w:val="124"/>
    <w:qFormat/>
    <w:uiPriority w:val="0"/>
    <w:rPr>
      <w:color w:val="007020"/>
    </w:rPr>
  </w:style>
  <w:style w:type="character" w:customStyle="1" w:styleId="145">
    <w:name w:val="FunctionTok"/>
    <w:basedOn w:val="124"/>
    <w:qFormat/>
    <w:uiPriority w:val="0"/>
    <w:rPr>
      <w:color w:val="06287E"/>
    </w:rPr>
  </w:style>
  <w:style w:type="character" w:customStyle="1" w:styleId="146">
    <w:name w:val="VariableTok"/>
    <w:basedOn w:val="124"/>
    <w:qFormat/>
    <w:uiPriority w:val="0"/>
    <w:rPr>
      <w:color w:val="19177C"/>
    </w:rPr>
  </w:style>
  <w:style w:type="character" w:customStyle="1" w:styleId="147">
    <w:name w:val="ControlFlowTok"/>
    <w:basedOn w:val="124"/>
    <w:qFormat/>
    <w:uiPriority w:val="0"/>
    <w:rPr>
      <w:b/>
      <w:color w:val="007020"/>
    </w:rPr>
  </w:style>
  <w:style w:type="character" w:customStyle="1" w:styleId="148">
    <w:name w:val="OperatorTok"/>
    <w:basedOn w:val="124"/>
    <w:qFormat/>
    <w:uiPriority w:val="0"/>
    <w:rPr>
      <w:color w:val="666666"/>
    </w:rPr>
  </w:style>
  <w:style w:type="character" w:customStyle="1" w:styleId="149">
    <w:name w:val="BuiltInTok"/>
    <w:basedOn w:val="124"/>
    <w:qFormat/>
    <w:uiPriority w:val="0"/>
    <w:rPr>
      <w:color w:val="008000"/>
    </w:rPr>
  </w:style>
  <w:style w:type="character" w:customStyle="1" w:styleId="150">
    <w:name w:val="ExtensionTok"/>
    <w:basedOn w:val="124"/>
    <w:qFormat/>
    <w:uiPriority w:val="0"/>
  </w:style>
  <w:style w:type="character" w:customStyle="1" w:styleId="151">
    <w:name w:val="PreprocessorTok"/>
    <w:basedOn w:val="124"/>
    <w:qFormat/>
    <w:uiPriority w:val="0"/>
    <w:rPr>
      <w:color w:val="BC7A00"/>
    </w:rPr>
  </w:style>
  <w:style w:type="character" w:customStyle="1" w:styleId="152">
    <w:name w:val="AttributeTok"/>
    <w:basedOn w:val="124"/>
    <w:qFormat/>
    <w:uiPriority w:val="0"/>
    <w:rPr>
      <w:color w:val="7D9029"/>
    </w:rPr>
  </w:style>
  <w:style w:type="character" w:customStyle="1" w:styleId="153">
    <w:name w:val="RegionMarkerTok"/>
    <w:basedOn w:val="124"/>
    <w:qFormat/>
    <w:uiPriority w:val="0"/>
  </w:style>
  <w:style w:type="character" w:customStyle="1" w:styleId="154">
    <w:name w:val="InformationTok"/>
    <w:basedOn w:val="124"/>
    <w:qFormat/>
    <w:uiPriority w:val="0"/>
    <w:rPr>
      <w:b/>
      <w:i/>
      <w:color w:val="60A0B0"/>
    </w:rPr>
  </w:style>
  <w:style w:type="character" w:customStyle="1" w:styleId="155">
    <w:name w:val="WarningTok"/>
    <w:basedOn w:val="124"/>
    <w:qFormat/>
    <w:uiPriority w:val="0"/>
    <w:rPr>
      <w:b/>
      <w:i/>
      <w:color w:val="60A0B0"/>
    </w:rPr>
  </w:style>
  <w:style w:type="character" w:customStyle="1" w:styleId="156">
    <w:name w:val="AlertTok"/>
    <w:basedOn w:val="124"/>
    <w:qFormat/>
    <w:uiPriority w:val="0"/>
    <w:rPr>
      <w:b/>
      <w:color w:val="FF0000"/>
    </w:rPr>
  </w:style>
  <w:style w:type="character" w:customStyle="1" w:styleId="157">
    <w:name w:val="ErrorTok"/>
    <w:basedOn w:val="124"/>
    <w:qFormat/>
    <w:uiPriority w:val="0"/>
    <w:rPr>
      <w:b/>
      <w:color w:val="FF0000"/>
    </w:rPr>
  </w:style>
  <w:style w:type="character" w:customStyle="1" w:styleId="158">
    <w:name w:val="NormalTok"/>
    <w:basedOn w:val="124"/>
    <w:qFormat/>
    <w:uiPriority w:val="0"/>
  </w:style>
  <w:style w:type="paragraph" w:customStyle="1" w:styleId="159">
    <w:name w:val="目录标题"/>
    <w:link w:val="160"/>
    <w:qFormat/>
    <w:uiPriority w:val="0"/>
    <w:pPr>
      <w:bidi w:val="0"/>
      <w:adjustRightInd w:val="0"/>
      <w:snapToGrid w:val="0"/>
      <w:spacing w:line="360" w:lineRule="auto"/>
      <w:jc w:val="center"/>
    </w:pPr>
    <w:rPr>
      <w:rFonts w:ascii="宋体" w:hAnsi="宋体" w:eastAsia="宋体" w:cs="Times New Roman"/>
      <w:color w:val="252525" w:themeColor="text1" w:themeTint="D9"/>
      <w:sz w:val="24"/>
      <w:szCs w:val="24"/>
      <w:lang w:val="en-US" w:eastAsia="zh-CN" w:bidi="ar-SA"/>
    </w:rPr>
  </w:style>
  <w:style w:type="character" w:customStyle="1" w:styleId="160">
    <w:name w:val="目录标题 Char"/>
    <w:link w:val="159"/>
    <w:qFormat/>
    <w:uiPriority w:val="0"/>
    <w:rPr>
      <w:rFonts w:ascii="宋体" w:hAnsi="宋体" w:eastAsia="宋体" w:cs="Times New Roman"/>
      <w:color w:val="252525" w:themeColor="text1" w:themeTint="D9"/>
      <w:sz w:val="24"/>
      <w:szCs w:val="24"/>
      <w:lang w:val="en-US" w:eastAsia="zh-CN" w:bidi="ar-SA"/>
    </w:rPr>
  </w:style>
  <w:style w:type="paragraph" w:customStyle="1" w:styleId="161">
    <w:name w:val="题注1"/>
    <w:basedOn w:val="1"/>
    <w:qFormat/>
    <w:uiPriority w:val="0"/>
    <w:pPr>
      <w:spacing w:before="50" w:after="50"/>
      <w:ind w:firstLine="0" w:firstLineChars="0"/>
    </w:pPr>
    <w:rPr>
      <w:sz w:val="20"/>
      <w:szCs w:val="20"/>
    </w:rPr>
  </w:style>
  <w:style w:type="paragraph" w:customStyle="1" w:styleId="162">
    <w:name w:val="文档说明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auto"/>
      <w:spacing w:val="11"/>
      <w:kern w:val="44"/>
      <w:sz w:val="36"/>
      <w:szCs w:val="36"/>
      <w:lang w:val="en-US" w:eastAsia="zh-CN" w:bidi="ar-SA"/>
    </w:rPr>
  </w:style>
  <w:style w:type="paragraph" w:customStyle="1" w:styleId="163">
    <w:name w:val="章标题"/>
    <w:next w:val="1"/>
    <w:qFormat/>
    <w:uiPriority w:val="0"/>
    <w:pPr>
      <w:keepNext/>
      <w:keepLines/>
      <w:tabs>
        <w:tab w:val="left" w:pos="0"/>
      </w:tabs>
      <w:bidi w:val="0"/>
      <w:adjustRightInd w:val="0"/>
      <w:snapToGrid w:val="0"/>
      <w:spacing w:before="50" w:beforeLines="50" w:after="150" w:afterLines="150" w:line="240" w:lineRule="auto"/>
      <w:jc w:val="center"/>
      <w:outlineLvl w:val="0"/>
    </w:pPr>
    <w:rPr>
      <w:rFonts w:ascii="黑体" w:hAnsi="黑体" w:eastAsia="黑体" w:cs="Times New Roman"/>
      <w:b/>
      <w:bCs/>
      <w:color w:val="252525" w:themeColor="text1" w:themeTint="D9"/>
      <w:spacing w:val="11"/>
      <w:kern w:val="44"/>
      <w:sz w:val="36"/>
      <w:szCs w:val="36"/>
      <w:lang w:val="en-US" w:eastAsia="zh-CN" w:bidi="ar-SA"/>
    </w:rPr>
  </w:style>
  <w:style w:type="paragraph" w:customStyle="1" w:styleId="164">
    <w:name w:val="节标题"/>
    <w:next w:val="1"/>
    <w:qFormat/>
    <w:uiPriority w:val="0"/>
    <w:pPr>
      <w:tabs>
        <w:tab w:val="left" w:pos="0"/>
      </w:tabs>
      <w:bidi w:val="0"/>
      <w:adjustRightInd w:val="0"/>
      <w:snapToGrid w:val="0"/>
      <w:spacing w:before="50" w:beforeLines="50" w:after="150" w:afterLines="150" w:line="240" w:lineRule="auto"/>
      <w:jc w:val="center"/>
    </w:pPr>
    <w:rPr>
      <w:rFonts w:ascii="黑体" w:hAnsi="黑体" w:eastAsia="黑体" w:cs="Times New Roman"/>
      <w:b/>
      <w:bCs/>
      <w:color w:val="252525" w:themeColor="text1" w:themeTint="D9"/>
      <w:spacing w:val="11"/>
      <w:sz w:val="32"/>
      <w:szCs w:val="32"/>
      <w:lang w:val="en-US" w:eastAsia="zh-CN" w:bidi="ar-SA"/>
    </w:rPr>
  </w:style>
  <w:style w:type="paragraph" w:customStyle="1" w:styleId="165">
    <w:name w:val="附录标题"/>
    <w:next w:val="34"/>
    <w:qFormat/>
    <w:uiPriority w:val="0"/>
    <w:pPr>
      <w:keepNext/>
      <w:keepLines/>
      <w:tabs>
        <w:tab w:val="left" w:pos="0"/>
      </w:tabs>
      <w:bidi w:val="0"/>
      <w:adjustRightInd w:val="0"/>
      <w:snapToGrid w:val="0"/>
      <w:spacing w:before="100" w:beforeLines="100" w:after="150" w:afterLines="150" w:line="240" w:lineRule="auto"/>
      <w:jc w:val="center"/>
      <w:outlineLvl w:val="0"/>
    </w:pPr>
    <w:rPr>
      <w:rFonts w:ascii="黑体" w:hAnsi="黑体" w:eastAsia="黑体" w:cs="Times New Roman"/>
      <w:b/>
      <w:bCs/>
      <w:color w:val="auto"/>
      <w:kern w:val="44"/>
      <w:sz w:val="36"/>
      <w:szCs w:val="36"/>
      <w:lang w:val="en-US" w:eastAsia="zh-CN" w:bidi="ar-SA"/>
    </w:rPr>
  </w:style>
  <w:style w:type="character" w:customStyle="1" w:styleId="166">
    <w:name w:val="摘要"/>
    <w:basedOn w:val="89"/>
    <w:qFormat/>
    <w:uiPriority w:val="0"/>
    <w:rPr>
      <w:rFonts w:ascii="宋体" w:hAnsi="宋体" w:eastAsia="宋体" w:cs="Times New Roman"/>
      <w:b/>
      <w:bCs/>
      <w:color w:val="252525" w:themeColor="text1" w:themeTint="D9"/>
      <w:kern w:val="2"/>
      <w:sz w:val="28"/>
      <w:szCs w:val="28"/>
      <w:lang w:val="en-US" w:eastAsia="zh-CN" w:bidi="ar-SA"/>
    </w:rPr>
  </w:style>
  <w:style w:type="character" w:customStyle="1" w:styleId="167">
    <w:name w:val="参考文献条目"/>
    <w:basedOn w:val="89"/>
    <w:qFormat/>
    <w:uiPriority w:val="0"/>
    <w:rPr>
      <w:rFonts w:ascii="宋体" w:hAnsi="宋体" w:eastAsia="宋体" w:cs="Times New Roman"/>
      <w:color w:val="252525" w:themeColor="text1" w:themeTint="D9"/>
      <w:kern w:val="2"/>
      <w:sz w:val="24"/>
      <w:szCs w:val="24"/>
      <w:lang w:val="en-US" w:eastAsia="zh-CN" w:bidi="ar-SA"/>
    </w:rPr>
  </w:style>
  <w:style w:type="character" w:customStyle="1" w:styleId="168">
    <w:name w:val="关键词"/>
    <w:basedOn w:val="89"/>
    <w:qFormat/>
    <w:uiPriority w:val="0"/>
    <w:rPr>
      <w:rFonts w:ascii="宋体" w:hAnsi="宋体" w:eastAsia="宋体" w:cs="Times New Roman"/>
      <w:b/>
      <w:bCs/>
      <w:color w:val="252525" w:themeColor="text1" w:themeTint="D9"/>
      <w:kern w:val="2"/>
      <w:sz w:val="24"/>
      <w:szCs w:val="24"/>
      <w:lang w:val="en-US" w:eastAsia="zh-CN" w:bidi="ar-SA"/>
    </w:rPr>
  </w:style>
  <w:style w:type="character" w:customStyle="1" w:styleId="169">
    <w:name w:val="着重标题"/>
    <w:basedOn w:val="89"/>
    <w:qFormat/>
    <w:uiPriority w:val="0"/>
    <w:rPr>
      <w:rFonts w:ascii="宋体" w:hAnsi="宋体" w:eastAsia="宋体" w:cs="宋体"/>
      <w:kern w:val="2"/>
      <w:sz w:val="28"/>
      <w:szCs w:val="28"/>
      <w:lang w:val="en-US" w:eastAsia="zh-CN" w:bidi="ar-SA"/>
    </w:rPr>
  </w:style>
  <w:style w:type="character" w:customStyle="1" w:styleId="170">
    <w:name w:val="列表编号 字符"/>
    <w:link w:val="20"/>
    <w:qFormat/>
    <w:uiPriority w:val="0"/>
  </w:style>
  <w:style w:type="character" w:customStyle="1" w:styleId="171">
    <w:name w:val="列表项目符号 字符"/>
    <w:link w:val="24"/>
    <w:qFormat/>
    <w:uiPriority w:val="0"/>
  </w:style>
  <w:style w:type="character" w:customStyle="1" w:styleId="172">
    <w:name w:val="列表项目符号 2 字符"/>
    <w:link w:val="40"/>
    <w:qFormat/>
    <w:uiPriority w:val="0"/>
  </w:style>
  <w:style w:type="character" w:customStyle="1" w:styleId="173">
    <w:name w:val="HTML 地址 字符"/>
    <w:basedOn w:val="89"/>
    <w:link w:val="41"/>
    <w:qFormat/>
    <w:uiPriority w:val="0"/>
    <w:rPr>
      <w:rFonts w:ascii="汉仪正圆-45W" w:hAnsi="汉仪正圆-45W" w:eastAsia="汉仪正圆-45W" w:cstheme="minorBidi"/>
      <w:i/>
      <w:iCs/>
      <w:kern w:val="2"/>
      <w:sz w:val="22"/>
      <w:szCs w:val="22"/>
    </w:rPr>
  </w:style>
  <w:style w:type="character" w:customStyle="1" w:styleId="174">
    <w:name w:val="HTML 预设格式 字符"/>
    <w:basedOn w:val="89"/>
    <w:link w:val="80"/>
    <w:qFormat/>
    <w:uiPriority w:val="0"/>
    <w:rPr>
      <w:rFonts w:ascii="Courier New" w:hAnsi="Courier New" w:eastAsia="汉仪正圆-45W" w:cs="Courier New"/>
      <w:kern w:val="2"/>
    </w:rPr>
  </w:style>
  <w:style w:type="character" w:customStyle="1" w:styleId="175">
    <w:name w:val="称呼 字符"/>
    <w:basedOn w:val="89"/>
    <w:link w:val="30"/>
    <w:qFormat/>
    <w:uiPriority w:val="0"/>
    <w:rPr>
      <w:rFonts w:ascii="汉仪正圆-45W" w:hAnsi="汉仪正圆-45W" w:eastAsia="宋体" w:cstheme="minorBidi"/>
      <w:kern w:val="2"/>
      <w:sz w:val="22"/>
      <w:szCs w:val="22"/>
    </w:rPr>
  </w:style>
  <w:style w:type="character" w:customStyle="1" w:styleId="176">
    <w:name w:val="纯文本 字符"/>
    <w:basedOn w:val="89"/>
    <w:link w:val="45"/>
    <w:qFormat/>
    <w:uiPriority w:val="0"/>
    <w:rPr>
      <w:rFonts w:hAnsi="Courier New" w:cs="Courier New" w:asciiTheme="minorEastAsia" w:eastAsiaTheme="minorEastAsia"/>
      <w:kern w:val="2"/>
      <w:sz w:val="22"/>
      <w:szCs w:val="22"/>
    </w:rPr>
  </w:style>
  <w:style w:type="character" w:customStyle="1" w:styleId="177">
    <w:name w:val="电子邮件签名 字符"/>
    <w:basedOn w:val="89"/>
    <w:link w:val="19"/>
    <w:qFormat/>
    <w:uiPriority w:val="0"/>
    <w:rPr>
      <w:rFonts w:ascii="汉仪正圆-45W" w:hAnsi="汉仪正圆-45W" w:eastAsia="汉仪正圆-45W" w:cstheme="minorBidi"/>
      <w:kern w:val="2"/>
      <w:sz w:val="22"/>
      <w:szCs w:val="22"/>
    </w:rPr>
  </w:style>
  <w:style w:type="character" w:customStyle="1" w:styleId="178">
    <w:name w:val="宏文本 字符"/>
    <w:basedOn w:val="89"/>
    <w:link w:val="2"/>
    <w:qFormat/>
    <w:uiPriority w:val="0"/>
    <w:rPr>
      <w:rFonts w:ascii="Courier New" w:hAnsi="Courier New" w:eastAsia="宋体" w:cs="Courier New"/>
      <w:kern w:val="2"/>
      <w:sz w:val="24"/>
      <w:szCs w:val="24"/>
    </w:rPr>
  </w:style>
  <w:style w:type="character" w:customStyle="1" w:styleId="179">
    <w:name w:val="结束语 字符"/>
    <w:basedOn w:val="89"/>
    <w:link w:val="32"/>
    <w:qFormat/>
    <w:uiPriority w:val="0"/>
    <w:rPr>
      <w:rFonts w:ascii="汉仪正圆-45W" w:hAnsi="汉仪正圆-45W" w:eastAsia="汉仪正圆-45W" w:cstheme="minorBidi"/>
      <w:kern w:val="2"/>
      <w:sz w:val="22"/>
      <w:szCs w:val="22"/>
    </w:rPr>
  </w:style>
  <w:style w:type="paragraph" w:styleId="180">
    <w:name w:val="List Paragraph"/>
    <w:basedOn w:val="1"/>
    <w:qFormat/>
    <w:uiPriority w:val="99"/>
    <w:pPr>
      <w:ind w:firstLine="420"/>
    </w:pPr>
  </w:style>
  <w:style w:type="paragraph" w:styleId="181">
    <w:name w:val="Intense Quote"/>
    <w:basedOn w:val="1"/>
    <w:next w:val="1"/>
    <w:link w:val="182"/>
    <w:qFormat/>
    <w:uiPriority w:val="99"/>
    <w:pPr>
      <w:pBdr>
        <w:top w:val="single" w:color="4874CB" w:themeColor="accent1" w:sz="4" w:space="10"/>
        <w:bottom w:val="single" w:color="4874CB" w:themeColor="accent1" w:sz="4" w:space="10"/>
      </w:pBdr>
      <w:spacing w:before="360" w:after="360"/>
      <w:ind w:left="864" w:right="864"/>
      <w:jc w:val="center"/>
    </w:pPr>
    <w:rPr>
      <w:rFonts w:ascii="汉仪正圆-45W" w:hAnsi="汉仪正圆-45W" w:eastAsia="汉仪正圆-45W" w:cstheme="minorBidi"/>
      <w:i/>
      <w:iCs/>
      <w:color w:val="4874CB" w:themeColor="accent1"/>
      <w:kern w:val="2"/>
      <w:sz w:val="22"/>
      <w:szCs w:val="22"/>
    </w:rPr>
  </w:style>
  <w:style w:type="character" w:customStyle="1" w:styleId="182">
    <w:name w:val="明显引用 字符"/>
    <w:basedOn w:val="89"/>
    <w:link w:val="181"/>
    <w:qFormat/>
    <w:uiPriority w:val="99"/>
    <w:rPr>
      <w:rFonts w:ascii="汉仪正圆-45W" w:hAnsi="汉仪正圆-45W" w:eastAsia="汉仪正圆-45W" w:cstheme="minorBidi"/>
      <w:i/>
      <w:iCs/>
      <w:color w:val="4874CB" w:themeColor="accent1"/>
      <w:kern w:val="2"/>
      <w:sz w:val="22"/>
      <w:szCs w:val="22"/>
    </w:rPr>
  </w:style>
  <w:style w:type="character" w:customStyle="1" w:styleId="183">
    <w:name w:val="签名 字符"/>
    <w:basedOn w:val="89"/>
    <w:link w:val="58"/>
    <w:qFormat/>
    <w:uiPriority w:val="0"/>
    <w:rPr>
      <w:rFonts w:ascii="汉仪正圆-45W" w:hAnsi="汉仪正圆-45W" w:eastAsia="宋体" w:cstheme="minorBidi"/>
      <w:kern w:val="2"/>
      <w:sz w:val="22"/>
      <w:szCs w:val="22"/>
    </w:rPr>
  </w:style>
  <w:style w:type="character" w:customStyle="1" w:styleId="184">
    <w:name w:val="日期 字符"/>
    <w:basedOn w:val="89"/>
    <w:link w:val="50"/>
    <w:qFormat/>
    <w:uiPriority w:val="0"/>
    <w:rPr>
      <w:rFonts w:ascii="汉仪正圆-45W" w:hAnsi="汉仪正圆-45W" w:eastAsia="宋体" w:cstheme="minorBidi"/>
      <w:kern w:val="2"/>
      <w:sz w:val="22"/>
      <w:szCs w:val="22"/>
    </w:rPr>
  </w:style>
  <w:style w:type="character" w:customStyle="1" w:styleId="185">
    <w:name w:val="文档结构图 字符"/>
    <w:basedOn w:val="89"/>
    <w:link w:val="26"/>
    <w:qFormat/>
    <w:uiPriority w:val="0"/>
    <w:rPr>
      <w:rFonts w:ascii="Microsoft YaHei UI" w:hAnsi="汉仪正圆-45W" w:eastAsia="Microsoft YaHei UI" w:cstheme="minorBidi"/>
      <w:kern w:val="2"/>
      <w:sz w:val="18"/>
      <w:szCs w:val="18"/>
    </w:rPr>
  </w:style>
  <w:style w:type="paragraph" w:styleId="186">
    <w:name w:val="No Spacing"/>
    <w:qFormat/>
    <w:uiPriority w:val="99"/>
    <w:pPr>
      <w:widowControl w:val="0"/>
      <w:adjustRightInd w:val="0"/>
      <w:snapToGrid w:val="0"/>
      <w:ind w:firstLine="440" w:firstLineChars="200"/>
      <w:jc w:val="both"/>
    </w:pPr>
    <w:rPr>
      <w:rFonts w:ascii="汉仪正圆-45W" w:hAnsi="汉仪正圆-45W" w:eastAsia="汉仪正圆-45W" w:cstheme="minorBidi"/>
      <w:kern w:val="2"/>
      <w:sz w:val="22"/>
      <w:szCs w:val="22"/>
      <w:lang w:val="en-US" w:eastAsia="zh-CN" w:bidi="ar-SA"/>
    </w:rPr>
  </w:style>
  <w:style w:type="character" w:customStyle="1" w:styleId="187">
    <w:name w:val="信息标题 字符"/>
    <w:basedOn w:val="89"/>
    <w:link w:val="79"/>
    <w:qFormat/>
    <w:uiPriority w:val="0"/>
    <w:rPr>
      <w:rFonts w:asciiTheme="majorHAnsi" w:hAnsiTheme="majorHAnsi" w:eastAsiaTheme="majorEastAsia" w:cstheme="majorBidi"/>
      <w:kern w:val="2"/>
      <w:sz w:val="24"/>
      <w:szCs w:val="24"/>
      <w:shd w:val="pct20" w:color="auto" w:fill="auto"/>
    </w:rPr>
  </w:style>
  <w:style w:type="paragraph" w:styleId="188">
    <w:name w:val="Quote"/>
    <w:basedOn w:val="1"/>
    <w:next w:val="1"/>
    <w:link w:val="189"/>
    <w:qFormat/>
    <w:uiPriority w:val="99"/>
    <w:pPr>
      <w:spacing w:before="200" w:after="160"/>
      <w:ind w:left="864" w:right="864"/>
      <w:jc w:val="center"/>
    </w:pPr>
    <w:rPr>
      <w:rFonts w:ascii="汉仪正圆-45W" w:hAnsi="汉仪正圆-45W" w:eastAsia="汉仪正圆-45W" w:cstheme="minorBidi"/>
      <w:i/>
      <w:iCs/>
      <w:color w:val="3F3F3F" w:themeColor="text1" w:themeTint="BF"/>
      <w:kern w:val="2"/>
      <w:sz w:val="22"/>
      <w:szCs w:val="22"/>
    </w:rPr>
  </w:style>
  <w:style w:type="character" w:customStyle="1" w:styleId="189">
    <w:name w:val="引用 字符"/>
    <w:basedOn w:val="89"/>
    <w:link w:val="188"/>
    <w:qFormat/>
    <w:uiPriority w:val="99"/>
    <w:rPr>
      <w:rFonts w:ascii="汉仪正圆-45W" w:hAnsi="汉仪正圆-45W" w:eastAsia="汉仪正圆-45W" w:cstheme="minorBidi"/>
      <w:i/>
      <w:iCs/>
      <w:color w:val="3F3F3F" w:themeColor="text1" w:themeTint="BF"/>
      <w:kern w:val="2"/>
      <w:sz w:val="22"/>
      <w:szCs w:val="22"/>
    </w:rPr>
  </w:style>
  <w:style w:type="character" w:customStyle="1" w:styleId="190">
    <w:name w:val="正文文本 2 字符"/>
    <w:basedOn w:val="89"/>
    <w:link w:val="76"/>
    <w:qFormat/>
    <w:uiPriority w:val="0"/>
    <w:rPr>
      <w:rFonts w:ascii="汉仪正圆-45W" w:hAnsi="汉仪正圆-45W" w:eastAsia="汉仪正圆-45W" w:cstheme="minorBidi"/>
      <w:kern w:val="2"/>
      <w:sz w:val="22"/>
      <w:szCs w:val="22"/>
    </w:rPr>
  </w:style>
  <w:style w:type="character" w:customStyle="1" w:styleId="191">
    <w:name w:val="正文文本 3 字符"/>
    <w:basedOn w:val="89"/>
    <w:link w:val="31"/>
    <w:qFormat/>
    <w:uiPriority w:val="0"/>
    <w:rPr>
      <w:rFonts w:ascii="汉仪正圆-45W" w:hAnsi="汉仪正圆-45W" w:eastAsia="汉仪正圆-45W" w:cstheme="minorBidi"/>
      <w:kern w:val="2"/>
      <w:sz w:val="16"/>
      <w:szCs w:val="16"/>
    </w:rPr>
  </w:style>
  <w:style w:type="character" w:customStyle="1" w:styleId="192">
    <w:name w:val="正文文本 字符"/>
    <w:link w:val="34"/>
    <w:qFormat/>
    <w:uiPriority w:val="0"/>
    <w:rPr>
      <w:rFonts w:ascii="宋体" w:hAnsi="宋体" w:eastAsia="宋体" w:cs="宋体"/>
      <w:kern w:val="2"/>
      <w:sz w:val="28"/>
      <w:szCs w:val="28"/>
      <w:lang w:val="en-US" w:eastAsia="zh-CN" w:bidi="ar-SA"/>
    </w:rPr>
  </w:style>
  <w:style w:type="character" w:customStyle="1" w:styleId="193">
    <w:name w:val="正文文本首行缩进 字符"/>
    <w:basedOn w:val="192"/>
    <w:link w:val="86"/>
    <w:qFormat/>
    <w:uiPriority w:val="0"/>
    <w:rPr>
      <w:rFonts w:ascii="汉仪正圆-45W" w:hAnsi="汉仪正圆-45W" w:eastAsia="汉仪正圆-45W" w:cstheme="minorBidi"/>
      <w:kern w:val="2"/>
      <w:sz w:val="22"/>
      <w:szCs w:val="22"/>
    </w:rPr>
  </w:style>
  <w:style w:type="character" w:customStyle="1" w:styleId="194">
    <w:name w:val="正文文本缩进 字符"/>
    <w:basedOn w:val="89"/>
    <w:link w:val="35"/>
    <w:qFormat/>
    <w:uiPriority w:val="0"/>
    <w:rPr>
      <w:rFonts w:ascii="汉仪正圆-45W" w:hAnsi="汉仪正圆-45W" w:eastAsia="汉仪正圆-45W" w:cstheme="minorBidi"/>
      <w:kern w:val="2"/>
      <w:sz w:val="22"/>
      <w:szCs w:val="22"/>
    </w:rPr>
  </w:style>
  <w:style w:type="character" w:customStyle="1" w:styleId="195">
    <w:name w:val="正文文本首行缩进 2 字符"/>
    <w:basedOn w:val="194"/>
    <w:link w:val="87"/>
    <w:qFormat/>
    <w:uiPriority w:val="0"/>
    <w:rPr>
      <w:rFonts w:ascii="汉仪正圆-45W" w:hAnsi="汉仪正圆-45W" w:eastAsia="汉仪正圆-45W" w:cstheme="minorBidi"/>
      <w:kern w:val="2"/>
      <w:sz w:val="22"/>
      <w:szCs w:val="22"/>
    </w:rPr>
  </w:style>
  <w:style w:type="character" w:customStyle="1" w:styleId="196">
    <w:name w:val="正文文本缩进 2 字符"/>
    <w:basedOn w:val="89"/>
    <w:link w:val="51"/>
    <w:qFormat/>
    <w:uiPriority w:val="0"/>
    <w:rPr>
      <w:rFonts w:ascii="汉仪正圆-45W" w:hAnsi="汉仪正圆-45W" w:eastAsia="汉仪正圆-45W" w:cstheme="minorBidi"/>
      <w:kern w:val="2"/>
      <w:sz w:val="22"/>
      <w:szCs w:val="22"/>
    </w:rPr>
  </w:style>
  <w:style w:type="character" w:customStyle="1" w:styleId="197">
    <w:name w:val="正文文本缩进 3 字符"/>
    <w:basedOn w:val="89"/>
    <w:link w:val="70"/>
    <w:qFormat/>
    <w:uiPriority w:val="0"/>
    <w:rPr>
      <w:rFonts w:ascii="汉仪正圆-45W" w:hAnsi="汉仪正圆-45W" w:eastAsia="汉仪正圆-45W" w:cstheme="minorBidi"/>
      <w:kern w:val="2"/>
      <w:sz w:val="16"/>
      <w:szCs w:val="16"/>
    </w:rPr>
  </w:style>
  <w:style w:type="character" w:customStyle="1" w:styleId="198">
    <w:name w:val="注释标题 字符"/>
    <w:basedOn w:val="89"/>
    <w:link w:val="16"/>
    <w:qFormat/>
    <w:uiPriority w:val="0"/>
    <w:rPr>
      <w:rFonts w:ascii="汉仪正圆-45W" w:hAnsi="汉仪正圆-45W" w:eastAsia="汉仪正圆-45W" w:cstheme="minorBidi"/>
      <w:kern w:val="2"/>
      <w:sz w:val="22"/>
      <w:szCs w:val="22"/>
    </w:rPr>
  </w:style>
  <w:style w:type="paragraph" w:customStyle="1" w:styleId="199">
    <w:name w:val="主送对象"/>
    <w:next w:val="34"/>
    <w:qFormat/>
    <w:uiPriority w:val="0"/>
    <w:pPr>
      <w:adjustRightInd w:val="0"/>
      <w:snapToGrid w:val="0"/>
      <w:spacing w:line="360" w:lineRule="auto"/>
    </w:pPr>
    <w:rPr>
      <w:rFonts w:hint="eastAsia" w:ascii="宋体" w:hAnsi="宋体" w:eastAsia="宋体" w:cs="Times New Roman"/>
      <w:color w:val="252525" w:themeColor="text1" w:themeTint="D9"/>
      <w:sz w:val="24"/>
      <w:szCs w:val="24"/>
      <w:lang w:val="en-US" w:eastAsia="zh-CN" w:bidi="ar-SA"/>
    </w:rPr>
  </w:style>
  <w:style w:type="character" w:customStyle="1" w:styleId="200">
    <w:name w:val="批注框文本 Char"/>
    <w:link w:val="54"/>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自定义 8">
      <a:majorFont>
        <a:latin typeface="黑体"/>
        <a:ea typeface="黑体"/>
        <a:cs typeface=""/>
      </a:majorFont>
      <a:minorFont>
        <a:latin typeface="宋体"/>
        <a:ea typeface="宋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2764</Words>
  <Characters>3108</Characters>
  <Lines>12</Lines>
  <Paragraphs>8</Paragraphs>
  <TotalTime>9</TotalTime>
  <ScaleCrop>false</ScaleCrop>
  <LinksUpToDate>false</LinksUpToDate>
  <CharactersWithSpaces>3126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2026-05-24T08:01:00Z</dcterms:created>
  <dc:creator>许愿</dc:creator>
  <cp:lastModifiedBy>许愿</cp:lastModifiedBy>
  <dcterms:modified xsi:type="dcterms:W3CDTF">2026-07-31T12:49:14Z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2052-12.1.0.26895</vt:lpwstr>
  </property>
  <property fmtid="{D5CDD505-2E9C-101B-9397-08002B2CF9AE}" pid="4" name="ICV">
    <vt:lpwstr>893F73BA695944C3A5154F6A363E2C6D_12</vt:lpwstr>
  </property>
</Properties>
</file>