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Songti SC"/>
          <w:b/>
          <w:color w:val="1F4E79"/>
          <w:sz w:val="50"/>
        </w:rPr>
        <w:t>PLC 通讯变量表到 Uni-Lab OS</w:t>
      </w:r>
    </w:p>
    <w:p>
      <w:pPr>
        <w:jc w:val="center"/>
      </w:pPr>
      <w:r>
        <w:rPr>
          <w:rFonts w:ascii="Arial" w:hAnsi="Arial" w:eastAsia="Songti SC"/>
          <w:b/>
          <w:color w:val="3F6B8A"/>
          <w:sz w:val="36"/>
        </w:rPr>
        <w:t>设备包、实验操作、工作流与任务执行</w:t>
        <w:br/>
        <w:t>通用引导操作说明</w:t>
      </w:r>
    </w:p>
    <w:p>
      <w:pPr>
        <w:jc w:val="center"/>
      </w:pPr>
      <w:r>
        <w:rPr>
          <w:rFonts w:ascii="Arial" w:hAnsi="Arial" w:eastAsia="Songti SC"/>
          <w:b w:val="0"/>
          <w:color w:val="5B6573"/>
          <w:sz w:val="23"/>
        </w:rPr>
        <w:t>适用于：把任意 PLC 通讯变量表整理成可检查、可发布、可执行的 Uni-Lab OS 交付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/>
                <w:color w:val="1F4E79"/>
                <w:sz w:val="21"/>
              </w:rPr>
              <w:t>文档性质</w:t>
            </w:r>
          </w:p>
        </w:tc>
        <w:tc>
          <w:tcPr>
            <w:tcW w:type="dxa" w:w="5083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 w:val="0"/>
                <w:sz w:val="21"/>
              </w:rPr>
              <w:t>可迁移的 step-by-step 引导；示例名称、编号、参数和地址均为可替换占位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/>
                <w:color w:val="1F4E79"/>
                <w:sz w:val="21"/>
              </w:rPr>
              <w:t>输入</w:t>
            </w:r>
          </w:p>
        </w:tc>
        <w:tc>
          <w:tcPr>
            <w:tcW w:type="dxa" w:w="5083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 w:val="0"/>
                <w:sz w:val="21"/>
              </w:rPr>
              <w:t>PLC 通讯变量表（CSV；编码、列结构和变量名以实际附件为准）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/>
                <w:color w:val="1F4E79"/>
                <w:sz w:val="21"/>
              </w:rPr>
              <w:t>输出</w:t>
            </w:r>
          </w:p>
        </w:tc>
        <w:tc>
          <w:tcPr>
            <w:tcW w:type="dxa" w:w="5083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 w:val="0"/>
                <w:sz w:val="21"/>
              </w:rPr>
              <w:t>设备、设备动作、库位、物料/试剂、实验操作、父工作流、任务和运行证据</w:t>
            </w:r>
          </w:p>
        </w:tc>
      </w:tr>
      <w:tr>
        <w:tc>
          <w:tcPr>
            <w:tcW w:type="dxa" w:w="5083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/>
                <w:color w:val="1F4E79"/>
                <w:sz w:val="21"/>
              </w:rPr>
              <w:t>编制日期</w:t>
            </w:r>
          </w:p>
        </w:tc>
        <w:tc>
          <w:tcPr>
            <w:tcW w:type="dxa" w:w="5083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rial" w:hAnsi="Arial" w:eastAsia="Songti SC"/>
                <w:b w:val="0"/>
                <w:sz w:val="21"/>
              </w:rPr>
              <w:t>2026-09-13</w:t>
            </w:r>
          </w:p>
        </w:tc>
      </w:tr>
    </w:tbl>
    <w:p>
      <w:r>
        <w:br w:type="page"/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阅读方式：用户要求与参考资料的边界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本说明只描述可迁移的方法。文中的“示例设备”“示例库位”“示例任务号”和“示例参数”用于说明字段关系，执行时必须换成目标实验室的实际值。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用户提出的目标是：读取 PLC 通讯变量表，按功能拆分设备和动作，创建资源与库存，建立至少含一个设备动作的实验操作，再建立至少调用一个已发布实验操作的父工作流，完成发布、预检、任务执行和结果记录。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外部资料只用于补充产品安装、PLC-Sim 和 Demo Lab 的界面或概念背景。若在线资料与目标服务版本不一致，以目标服务实际返回的 schema、状态和诊断信息为准。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pPr>
              <w:spacing w:before="0" w:after="120" w:line="276" w:lineRule="auto"/>
            </w:pPr>
            <w:r>
              <w:rPr>
                <w:rFonts w:ascii="Arial" w:hAnsi="Arial" w:eastAsia="Songti SC"/>
                <w:b w:val="0"/>
                <w:sz w:val="21"/>
              </w:rPr>
              <w:t>占位符约定：&lt;包工作区&gt;、&lt;CSV源&gt;、&lt;API_BASE&gt;、&lt;设备类型 ID&gt;、&lt;实例 UUID&gt;、&lt;工作流 UUID&gt;、&lt;任务 UUID&gt;、&lt;动态端口&gt;。尖括号中的内容不是固定值。</w:t>
            </w:r>
          </w:p>
        </w:tc>
      </w:tr>
    </w:tbl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在线参考资料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需要引用安装或示例时，请直接打开下列地址：</w:t>
      </w:r>
    </w:p>
    <w:p>
      <w:r>
        <w:t>PLC-Sim 产品手册：</w:t>
      </w:r>
      <w:hyperlink r:id="rId11">
        <w:r>
          <w:rPr>
            <w:color w:val="0563C1"/>
            <w:u w:val="single"/>
          </w:rPr>
          <w:t>https://github.com/raoyi971102-gif/Uni-Lab-Sim/tree/main/PLC-Sim/docs/product_manual</w:t>
        </w:r>
      </w:hyperlink>
    </w:p>
    <w:p>
      <w:r>
        <w:t>Uni-Lab OS 安装说明：</w:t>
      </w:r>
      <w:hyperlink r:id="rId12">
        <w:r>
          <w:rPr>
            <w:color w:val="0563C1"/>
            <w:u w:val="single"/>
          </w:rPr>
          <w:t>http://115.190.137.109:30184/unilabos-installation.html</w:t>
        </w:r>
      </w:hyperlink>
    </w:p>
    <w:p>
      <w:r>
        <w:t>Demo Lab 案例：</w:t>
      </w:r>
      <w:hyperlink r:id="rId13">
        <w:r>
          <w:rPr>
            <w:color w:val="0563C1"/>
            <w:u w:val="single"/>
          </w:rPr>
          <w:t>http://115.190.137.109:30184/demo-lab.html</w:t>
        </w:r>
      </w:hyperlink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链接属于外部参考；本手册不复制其中的本机路径、固定端口或版本专属内容。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一、先建立对象关系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建议先画出对象关系，再写代码或在控制台录入对象。关系闭合后，发布和任务预检才有明确的失败位置。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6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必须回答的问题</w:t>
            </w:r>
          </w:p>
        </w:tc>
        <w:tc>
          <w:tcPr>
            <w:tcW w:type="dxa" w:w="26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通过标志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</w:t>
            </w:r>
          </w:p>
        </w:tc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设备类型 / 设备实例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哪个物理单元负责这组变量？实例如何唯一识别？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类型可注册、实例可加载、状态可读取</w:t>
            </w:r>
          </w:p>
        </w:tc>
      </w:tr>
      <w:tr>
        <w:trPr>
          <w:cantSplit/>
        </w:trPr>
        <w:tc>
          <w:tcPr>
            <w:tcW w:type="dxa" w:w="6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496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一次动作写哪些变量、等哪些返回状态、如何报告结果？</w:t>
            </w:r>
          </w:p>
        </w:tc>
        <w:tc>
          <w:tcPr>
            <w:tcW w:type="dxa" w:w="26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参数有单位，状态机可判定成功/失败/超时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资源与库位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动作取放什么资源，资源当前在哪个库位？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库位类型、容量、占用关系闭合</w:t>
            </w:r>
          </w:p>
        </w:tc>
      </w:tr>
      <w:tr>
        <w:trPr>
          <w:cantSplit/>
        </w:trPr>
        <w:tc>
          <w:tcPr>
            <w:tcW w:type="dxa" w:w="6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4</w:t>
            </w:r>
          </w:p>
        </w:tc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物料与试剂</w:t>
            </w:r>
          </w:p>
        </w:tc>
        <w:tc>
          <w:tcPr>
            <w:tcW w:type="dxa" w:w="496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条码、数量、容器和最低库存是什么？</w:t>
            </w:r>
          </w:p>
        </w:tc>
        <w:tc>
          <w:tcPr>
            <w:tcW w:type="dxa" w:w="26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可查询、可摆放、可被预检锁定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实验操作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哪些资源输入经过哪些设备动作得到什么输出？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类型为 experiment_operation，至少一个设备动作节点</w:t>
            </w:r>
          </w:p>
        </w:tc>
      </w:tr>
      <w:tr>
        <w:trPr>
          <w:cantSplit/>
        </w:trPr>
        <w:tc>
          <w:tcPr>
            <w:tcW w:type="dxa" w:w="6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6</w:t>
            </w:r>
          </w:p>
        </w:tc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父工作流</w:t>
            </w:r>
          </w:p>
        </w:tc>
        <w:tc>
          <w:tcPr>
            <w:tcW w:type="dxa" w:w="496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如何组合已发布的实验操作？</w:t>
            </w:r>
          </w:p>
        </w:tc>
        <w:tc>
          <w:tcPr>
            <w:tcW w:type="dxa" w:w="26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类型为 normal，引用已发布 child 合同/版本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7</w:t>
            </w:r>
          </w:p>
        </w:tc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实验任务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用哪一个已发布父工作流、哪批物料、哪些参数执行？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预检通过，任务和作业终态可查询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推荐的闭环：变量表 → 变量分组 → 设备动作 → 资源/库位 → 实验操作 → 发布 → 父工作流 → 发布 → 摆放与预检 → 任务 → 证据。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二、检查 PLC 通讯变量表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2.1 保留原始字节并确认编码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把用户提供的 CSV 作为只读输入，先记录文件大小、行数、编码和校验值；不要先用表格软件另存，以免改变编码、引号或换行。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优先尝试 GB18030，再按实际结果处理 UTF-8 with BOM 或其他编码。解析失败时停止后续建模，先解决编码问题。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检查“变量名”是否唯一；检查数据类型、初始值、掉电保持、网络公开、注释和软元件地址是否成列对齐。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CSV 检查逻辑（伪代码）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仅示意：将 &lt;CSV源&gt;、&lt;编码&gt; 和 &lt;输出摘要&gt; 替换为当前环境值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read_csv(&lt;CSV源&gt;, encoding=&lt;编码&gt;)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assert required_columns &lt;= columns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assert variable_name_is_unique(rows)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write_summary(&lt;输出摘要&gt;, row_count, encoding, sha256, duplicate_names)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4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0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建议规则</w:t>
            </w:r>
          </w:p>
        </w:tc>
        <w:tc>
          <w:tcPr>
            <w:tcW w:type="dxa" w:w="36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编码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能完整读取中文变量名，不能出现替换字符</w:t>
            </w:r>
          </w:p>
        </w:tc>
        <w:tc>
          <w:tcPr>
            <w:tcW w:type="dxa" w:w="36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保留原始输入，换编码重试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变量名</w:t>
            </w:r>
          </w:p>
        </w:tc>
        <w:tc>
          <w:tcPr>
            <w:tcW w:type="dxa" w:w="50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顶层结构体和叶子变量都可定位</w:t>
            </w:r>
          </w:p>
        </w:tc>
        <w:tc>
          <w:tcPr>
            <w:tcW w:type="dxa" w:w="36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报告重复或空名称，停止建模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INT、REAL、STRING、结构体/数组与 PLC 定义一致</w:t>
            </w:r>
          </w:p>
        </w:tc>
        <w:tc>
          <w:tcPr>
            <w:tcW w:type="dxa" w:w="36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建立类型映射表后再写动作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地址</w:t>
            </w:r>
          </w:p>
        </w:tc>
        <w:tc>
          <w:tcPr>
            <w:tcW w:type="dxa" w:w="50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地址连续性与数组步长符合 PLC 规范</w:t>
            </w:r>
          </w:p>
        </w:tc>
        <w:tc>
          <w:tcPr>
            <w:tcW w:type="dxa" w:w="36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让协议负责人确认，不自行猜测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状态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每个写入动作都有对应返回状态或错误信号</w:t>
            </w:r>
          </w:p>
        </w:tc>
        <w:tc>
          <w:tcPr>
            <w:tcW w:type="dxa" w:w="36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补充状态机或标记为不可执行</w:t>
            </w:r>
          </w:p>
        </w:tc>
      </w:tr>
    </w:tbl>
    <w:p/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2.2 按功能分组，不按每一行机械拆分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用顶层结构体、动作语义和返回状态共同分组。一个动作通常由“任务号 + 参数数组/位置 + 触发约定 + 返回状态”组成。下表是从通讯表抽象出的示例分组；名称用于帮助读者定位，不限制实际命名。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变量表分组示例</w:t>
            </w:r>
          </w:p>
        </w:tc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动作语义</w:t>
            </w:r>
          </w:p>
        </w:tc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建议归属</w:t>
            </w:r>
          </w:p>
        </w:tc>
        <w:tc>
          <w:tcPr>
            <w:tcW w:type="dxa" w:w="25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关键返回字段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上料流程通讯数据2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把托盘或样品从源位搬到目标位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物料搬运机器人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PLC返回数据.上料任务状态</w:t>
            </w:r>
          </w:p>
        </w:tc>
      </w:tr>
      <w:tr>
        <w:trPr>
          <w:cantSplit/>
        </w:trPr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加样流程通讯数据3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按重量和精度向样品加入试剂/粉体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加样工站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PLC返回数据.加样加球磨任务状态、加样重量、加样结果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烧结上料流程通讯数据4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把坩埚送入烧结位置并写入工艺参数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烧结工站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PLC返回数据.烧结上料任务状态、马弗炉状态</w:t>
            </w:r>
          </w:p>
        </w:tc>
      </w:tr>
      <w:tr>
        <w:trPr>
          <w:cantSplit/>
        </w:trPr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声共振上料流程通讯数据8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把托盘送入声共振设备并执行参数段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物料搬运机器人或声共振工站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PLC返回数据.声共振上料任务状态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声共振下料流程通讯数据9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把托盘从声共振设备取出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物料搬运机器人或声共振工站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PLC返回数据.声共振下料任务状态</w:t>
            </w:r>
          </w:p>
        </w:tc>
      </w:tr>
      <w:tr>
        <w:trPr>
          <w:cantSplit/>
        </w:trPr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烧结下料流程通讯数据5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把完成处理的坩埚送到结果位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物料搬运机器人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PLC返回数据.烧结下料任务状态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如果一组变量既包含搬运又包含工艺设定，可拆成一个动作的两个阶段，或拆成两个设备动作；选择依据是现场是否有独立的资源占用、状态和故障恢复边界。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三、设计设备和设备动作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3.1 设备划分原则</w:t>
      </w:r>
    </w:p>
    <w:p>
      <w:pPr>
        <w:pStyle w:val="ListBullet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按可独立调度、可独立占用、可独立报错的物理单元划分设备。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设备动作对应一个可观察的业务结果；动作输入应包含资源、位置、工艺参数和任务号。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动作内部统一经历：校验参数 → 写入 PLC → 轮询状态 → 读取结果 → 更新资源/库存 → 返回公开结果。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真实 PLC 与 dry-run 使用同一动作接口；只在驱动层切换，不在工作流里写两套逻辑。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3.2 设备清单参考示例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4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示例设备</w:t>
            </w:r>
          </w:p>
        </w:tc>
        <w:tc>
          <w:tcPr>
            <w:tcW w:type="dxa" w:w="20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2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动作示例</w:t>
            </w:r>
          </w:p>
        </w:tc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占用资源</w:t>
            </w:r>
          </w:p>
        </w:tc>
        <w:tc>
          <w:tcPr>
            <w:tcW w:type="dxa" w:w="273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最低验收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物料搬运机器人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robot / material_transfer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run_loading、run_resonance_load、run_resonance_unload、run_unloading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托盘、坩埚、目标库位</w:t>
            </w:r>
          </w:p>
        </w:tc>
        <w:tc>
          <w:tcPr>
            <w:tcW w:type="dxa" w:w="27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返回资源与目标库位，状态最终为完成</w:t>
            </w:r>
          </w:p>
        </w:tc>
      </w:tr>
      <w:tr>
        <w:trPr>
          <w:cantSplit/>
        </w:trPr>
        <w:tc>
          <w:tcPr>
            <w:tcW w:type="dxa" w:w="194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加样工站</w:t>
            </w:r>
          </w:p>
        </w:tc>
        <w:tc>
          <w:tcPr>
            <w:tcW w:type="dxa" w:w="208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process_station / dosing</w:t>
            </w:r>
          </w:p>
        </w:tc>
        <w:tc>
          <w:tcPr>
            <w:tcW w:type="dxa" w:w="32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run_dosing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样品托盘、试剂瓶、粉体瓶、球磨珠容器</w:t>
            </w:r>
          </w:p>
        </w:tc>
        <w:tc>
          <w:tcPr>
            <w:tcW w:type="dxa" w:w="273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重量在精度范围内，消耗量有记录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烧结工站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process_station / sintering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run_sintering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坩埚、工艺位置、烧结腔位</w:t>
            </w:r>
          </w:p>
        </w:tc>
        <w:tc>
          <w:tcPr>
            <w:tcW w:type="dxa" w:w="27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温度/时间参数被确认，炉状态完成</w:t>
            </w:r>
          </w:p>
        </w:tc>
      </w:tr>
    </w:tbl>
    <w:p/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3.3 动作参数和 CSV 映射示例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7"/>
              </w:rPr>
              <w:t>输入参数示例</w:t>
            </w:r>
          </w:p>
        </w:tc>
        <w:tc>
          <w:tcPr>
            <w:tcW w:type="dxa" w:w="43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7"/>
              </w:rPr>
              <w:t>写入变量示例</w:t>
            </w:r>
          </w:p>
        </w:tc>
        <w:tc>
          <w:tcPr>
            <w:tcW w:type="dxa" w:w="25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7"/>
              </w:rPr>
              <w:t>成功判定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run_loading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task_no、pick_place=[1,2]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上料流程通讯数据2.任务号；上料流程通讯数据2.取放编号[0].取编号/放编号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上料任务状态从 0 → 1 → 2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run_dosing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task_no、source_position、dose_g=12.5、tolerance_g=0.5、bead_count=10</w:t>
            </w:r>
          </w:p>
        </w:tc>
        <w:tc>
          <w:tcPr>
            <w:tcW w:type="dxa" w:w="43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加样流程通讯数据3.任务号；加样数据[0].加样重量；加样数据[0].精度；球磨珠数量</w:t>
            </w:r>
          </w:p>
        </w:tc>
        <w:tc>
          <w:tcPr>
            <w:tcW w:type="dxa" w:w="25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加样加球磨任务状态=2 且加样结果=1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run_sintering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task_no、temperature_c=850、hold_s=600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烧结上料流程通讯数据4.干锅上料数据[0].工艺温度1/工艺时间1；焦耳热数据.恒温温度设置/恒温保温时间设置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烧结上料任务状态=2，炉状态为完成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run_resonance_load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task_no、acceleration_g=2、frequency_hz=1000、time_s=30</w:t>
            </w:r>
          </w:p>
        </w:tc>
        <w:tc>
          <w:tcPr>
            <w:tcW w:type="dxa" w:w="43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声共振上料流程通讯数据8.加速度1/频率1/时间1</w:t>
            </w:r>
          </w:p>
        </w:tc>
        <w:tc>
          <w:tcPr>
            <w:tcW w:type="dxa" w:w="25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声共振上料任务状态=2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run_resonance_unload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task_no、source_position、target_position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声共振下料流程通讯数据9.取托盘位置/放托盘位置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声共振下料任务状态=2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run_unloading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task_no、pick_position、place_position、graphite_boat_type</w:t>
            </w:r>
          </w:p>
        </w:tc>
        <w:tc>
          <w:tcPr>
            <w:tcW w:type="dxa" w:w="43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烧结下料流程通讯数据5.取放编号[0].取料位置/放料位置；石墨舟类型</w:t>
            </w:r>
          </w:p>
        </w:tc>
        <w:tc>
          <w:tcPr>
            <w:tcW w:type="dxa" w:w="25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7"/>
              </w:rPr>
              <w:t>烧结下料任务状态=2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pPr>
              <w:spacing w:before="0" w:after="120" w:line="276" w:lineRule="auto"/>
            </w:pPr>
            <w:r>
              <w:rPr>
                <w:rFonts w:ascii="Arial" w:hAnsi="Arial" w:eastAsia="Songti SC"/>
                <w:b w:val="0"/>
                <w:sz w:val="21"/>
              </w:rPr>
              <w:t>上表的 850 °C、600 s、12.5 g 等是演示参数。发布前要按工艺规程设置范围、单位、精度和上限，并把越界检查放在动作入口。</w:t>
            </w:r>
          </w:p>
        </w:tc>
      </w:tr>
    </w:tbl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四、创建通用设备包结构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在包工作区中创建以下“职责区域”。区域可以由目录、模块或平台对象承载，名称由项目规范决定；本手册不要求固定文件名。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职责区域</w:t>
            </w:r>
          </w:p>
        </w:tc>
        <w:tc>
          <w:tcPr>
            <w:tcW w:type="dxa" w:w="38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写入内容</w:t>
            </w:r>
          </w:p>
        </w:tc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依赖关系</w:t>
            </w:r>
          </w:p>
        </w:tc>
        <w:tc>
          <w:tcPr>
            <w:tcW w:type="dxa" w:w="25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检查点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包元数据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包标识、版本、依赖和启动拓扑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引用设备/资源/工作流的公开 ID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标识唯一，版本可追溯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设备声明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设备类型、实例、通信配置、动作和状态映射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变量映射、驱动基类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导入不触发真实动作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资源声明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托盘、料架、容器、工艺腔位和可用库位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库位模板和容量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父子层级无环，站点索引唯一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实验操作定义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资源输入、设备动作节点、输出和节点 UUID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已注册设备与资源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类型为 experiment_operation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父工作流定义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调用实验操作、参数传递和结果汇总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已发布 child 合同/版本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类型为 normal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验证与证据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静态检查、运行预检、任务事件和库存快照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目标服务 API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证据来自本轮运行</w:t>
            </w:r>
          </w:p>
        </w:tc>
      </w:tr>
    </w:tbl>
    <w:p/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设备和动作声明（示意代码）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@device(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id="&lt;transport_device_type&gt;",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category=["custom", "robot", "material_transfer"],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displayname="示例物料搬运机器人",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class TransferRobot(PLCFlowDevice):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@action(displayname="托盘上料")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def run_loading(self, task_no: int, pick_place: list[int],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          resource: ResourceSlot, target_site: str):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payload = 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  "上料流程通讯数据2.任务号": task_no,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  "上料流程通讯数据2.取放编号[0].取编号": pick_place[0],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  "上料流程通讯数据2.取放编号[0].放编号": pick_place[1],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return self.run_and_confirm("上料", payload, resource, target_site)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示意代码中的装饰器、基类和返回类型以目标 Uni-Lab OS 版本的开发规范为准。重点是对象关系和变量映射，不是复制某一套本机源码。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五、资源、库位、物料和试剂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5.1 库位设计示例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下面的库位编码用于演示“来源 → 工艺 → 结果”的路径。真实项目可换成现场编码，但必须保持每个编码在资源图中唯一。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44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库位编码</w:t>
            </w:r>
          </w:p>
        </w:tc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允许内容</w:t>
            </w:r>
          </w:p>
        </w:tc>
        <w:tc>
          <w:tcPr>
            <w:tcW w:type="dxa" w:w="35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示例容器/资源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T01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样品输入位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样品托盘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输入托盘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T02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声共振待处理位</w:t>
            </w:r>
          </w:p>
        </w:tc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样品托盘</w:t>
            </w:r>
          </w:p>
        </w:tc>
        <w:tc>
          <w:tcPr>
            <w:tcW w:type="dxa" w:w="35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中转托盘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E01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液体试剂位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液体试剂瓶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乙醇瓶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A01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粉体试剂位</w:t>
            </w:r>
          </w:p>
        </w:tc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粉体容器</w:t>
            </w:r>
          </w:p>
        </w:tc>
        <w:tc>
          <w:tcPr>
            <w:tcW w:type="dxa" w:w="35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氧化铝粉体瓶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C01 / C02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坩埚准备位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氧化铝坩埚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D01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加样工站位</w:t>
            </w:r>
          </w:p>
        </w:tc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托盘或球磨罐</w:t>
            </w:r>
          </w:p>
        </w:tc>
        <w:tc>
          <w:tcPr>
            <w:tcW w:type="dxa" w:w="35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加样工位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SINT01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烧结工艺位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烧结腔位</w:t>
            </w:r>
          </w:p>
        </w:tc>
      </w:tr>
      <w:tr>
        <w:trPr>
          <w:cantSplit/>
        </w:trPr>
        <w:tc>
          <w:tcPr>
            <w:tcW w:type="dxa" w:w="144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RES01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声共振工艺位</w:t>
            </w:r>
          </w:p>
        </w:tc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</w:t>
            </w:r>
          </w:p>
        </w:tc>
        <w:tc>
          <w:tcPr>
            <w:tcW w:type="dxa" w:w="35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声共振腔位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PT01 / PC01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结果与人工取出位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托盘或坩埚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结果架/人工位</w:t>
            </w:r>
          </w:p>
        </w:tc>
      </w:tr>
    </w:tbl>
    <w:p/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5.2 库存实例示例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8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08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容器</w:t>
            </w:r>
          </w:p>
        </w:tc>
        <w:tc>
          <w:tcPr>
            <w:tcW w:type="dxa" w:w="24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条码示例</w:t>
            </w:r>
          </w:p>
        </w:tc>
        <w:tc>
          <w:tcPr>
            <w:tcW w:type="dxa" w:w="25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数量示例</w:t>
            </w:r>
          </w:p>
        </w:tc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初始库位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样品托盘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SAMPLE-TRAY-####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 个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T01</w:t>
            </w:r>
          </w:p>
        </w:tc>
      </w:tr>
      <w:tr>
        <w:trPr>
          <w:cantSplit/>
        </w:trPr>
        <w:tc>
          <w:tcPr>
            <w:tcW w:type="dxa" w:w="187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乙醇</w:t>
            </w:r>
          </w:p>
        </w:tc>
        <w:tc>
          <w:tcPr>
            <w:tcW w:type="dxa" w:w="208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液体试剂瓶</w:t>
            </w:r>
          </w:p>
        </w:tc>
        <w:tc>
          <w:tcPr>
            <w:tcW w:type="dxa" w:w="24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ETHANOL-####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50 mL（最低 10 mL）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E01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氧化铝粉体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粉体瓶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ALUMINA-####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80 g（最低 20 g）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tcW w:type="dxa" w:w="187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氧化铝坩埚</w:t>
            </w:r>
          </w:p>
        </w:tc>
        <w:tc>
          <w:tcPr>
            <w:tcW w:type="dxa" w:w="208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</w:t>
            </w:r>
          </w:p>
        </w:tc>
        <w:tc>
          <w:tcPr>
            <w:tcW w:type="dxa" w:w="24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CRUCIBLE-####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 个</w:t>
            </w:r>
          </w:p>
        </w:tc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C01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球磨珠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球磨珠容器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BEAD-####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按颗数或质量计量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D01 附近的供料位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pPr>
              <w:spacing w:before="0" w:after="120" w:line="276" w:lineRule="auto"/>
            </w:pPr>
            <w:r>
              <w:rPr>
                <w:rFonts w:ascii="Arial" w:hAnsi="Arial" w:eastAsia="Songti SC"/>
                <w:b w:val="0"/>
                <w:sz w:val="21"/>
              </w:rPr>
              <w:t>条码只是示例格式。预检使用实际条码和服务端 material UUID；不要把“名称相同”当作同一物料。试剂必须同时检查当前数量、单位、最低可用量和容器兼容性。</w:t>
            </w:r>
          </w:p>
        </w:tc>
      </w:tr>
    </w:tbl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5.3 摆放与移动规则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先读取资源图，确认目标库位存在、允许的 content_type 匹配、当前没有其他物料占用。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再读取物料详情，确认 revision、current_site 和条码；把实际实物放入对应容器和库位。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若需要服务端调整库位，使用带 expected_revision 的原子放置请求；成功后重新读取并核对 current_site。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库存查询与受控摆放（接口示意）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{API_BASE}/materials/graph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{API_BASE}/materials/{material_uuid}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PUT  {API_BASE}/materials/{material_uuid}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"site_placement": {"action": "place", "site_uuid": "&lt;target_site_uuid&gt;"},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"expected_revision": &lt;revision_from_latest_read&gt;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}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如果存在 active、unknown 或未结算的任务，先查任务、作业和库存结算，再决定是否恢复库位；不能直接覆盖服务端状态。</w:t>
      </w:r>
    </w:p>
    <w:p>
      <w:r>
        <w:br w:type="page"/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六、设计并发布实验操作节点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实验操作是可复用的最小实验单元。每个操作都必须包含至少一个设备动作节点，并明确资源输入、输出和库存变化。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6.1 操作一：样品上料与加样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7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52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节点内容</w:t>
            </w:r>
          </w:p>
        </w:tc>
        <w:tc>
          <w:tcPr>
            <w:tcW w:type="dxa" w:w="30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输入/输出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资源节点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从 T01 取得样品托盘，从 E01 取得乙醇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sample_tray、ethanol</w:t>
            </w:r>
          </w:p>
        </w:tc>
      </w:tr>
      <w:tr>
        <w:trPr>
          <w:cantSplit/>
        </w:trPr>
        <w:tc>
          <w:tcPr>
            <w:tcW w:type="dxa" w:w="7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transport_robot.run_loading(pick_place=[1,2])</w:t>
            </w:r>
          </w:p>
        </w:tc>
        <w:tc>
          <w:tcPr>
            <w:tcW w:type="dxa" w:w="30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托盘到 D01，返回 resource/site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dosing_station.run_dosing(dose_g=12.5, tolerance_g=0.5)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消耗乙醇，返回实际重量和结果</w:t>
            </w:r>
          </w:p>
        </w:tc>
      </w:tr>
      <w:tr>
        <w:trPr>
          <w:cantSplit/>
        </w:trPr>
        <w:tc>
          <w:tcPr>
            <w:tcW w:type="dxa" w:w="7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4</w:t>
            </w:r>
          </w:p>
        </w:tc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结果节点</w:t>
            </w:r>
          </w:p>
        </w:tc>
        <w:tc>
          <w:tcPr>
            <w:tcW w:type="dxa" w:w="52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记录批次、条码、实际重量和事件</w:t>
            </w:r>
          </w:p>
        </w:tc>
        <w:tc>
          <w:tcPr>
            <w:tcW w:type="dxa" w:w="30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sample_tray、consumption、evidence</w:t>
            </w:r>
          </w:p>
        </w:tc>
      </w:tr>
    </w:tbl>
    <w:p/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实验操作一（示意代码）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@workflow(workflow_uuid="&lt;operation_uuid&gt;",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displayname="样品上料与加样操作",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workflow_type="experiment_operation")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def sample_loading_operation(sample, ethanol, task_no, dose_g=12.5):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tray = material_source(sample, site="T01")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loaded = transport_robot.run_loading(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pick_place=[1, 2], resource=tray, target_site="D01")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return dosing_station.run_dosing(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source_position=1, target_position=2,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dose_g=dose_g, tolerance_g=0.5,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sample=loaded.resource, reagent=material_source(ethanol, site="E01"))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6.2 操作二：烧结与声共振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79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52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节点内容</w:t>
            </w:r>
          </w:p>
        </w:tc>
        <w:tc>
          <w:tcPr>
            <w:tcW w:type="dxa" w:w="30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输入/输出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资源节点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从 C01 取得坩埚，从 A01 取得氧化铝，从 T02 取得托盘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crucible、powder、tray</w:t>
            </w:r>
          </w:p>
        </w:tc>
      </w:tr>
      <w:tr>
        <w:trPr>
          <w:cantSplit/>
        </w:trPr>
        <w:tc>
          <w:tcPr>
            <w:tcW w:type="dxa" w:w="7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sintering_station.run_sintering(temperature_c=850, hold_s=600)</w:t>
            </w:r>
          </w:p>
        </w:tc>
        <w:tc>
          <w:tcPr>
            <w:tcW w:type="dxa" w:w="30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坩埚到 SINT01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transport_robot.run_resonance_load(acceleration_g=2, frequency_hz=1000, time_s=30)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托盘到 RES01</w:t>
            </w:r>
          </w:p>
        </w:tc>
      </w:tr>
      <w:tr>
        <w:trPr>
          <w:cantSplit/>
        </w:trPr>
        <w:tc>
          <w:tcPr>
            <w:tcW w:type="dxa" w:w="7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4</w:t>
            </w:r>
          </w:p>
        </w:tc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transport_robot.run_resonance_unload()</w:t>
            </w:r>
          </w:p>
        </w:tc>
        <w:tc>
          <w:tcPr>
            <w:tcW w:type="dxa" w:w="30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托盘到 PT01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transport_robot.run_unloading()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坩埚到 PC01</w:t>
            </w:r>
          </w:p>
        </w:tc>
      </w:tr>
      <w:tr>
        <w:trPr>
          <w:cantSplit/>
        </w:trPr>
        <w:tc>
          <w:tcPr>
            <w:tcW w:type="dxa" w:w="79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6</w:t>
            </w:r>
          </w:p>
        </w:tc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结果节点</w:t>
            </w:r>
          </w:p>
        </w:tc>
        <w:tc>
          <w:tcPr>
            <w:tcW w:type="dxa" w:w="52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记录炉状态、共振参数、条码和事件</w:t>
            </w:r>
          </w:p>
        </w:tc>
        <w:tc>
          <w:tcPr>
            <w:tcW w:type="dxa" w:w="30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结果物料与证据</w:t>
            </w:r>
          </w:p>
        </w:tc>
      </w:tr>
    </w:tbl>
    <w:p/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实验操作二（示意代码）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@workflow(workflow_uuid="&lt;operation_uuid&gt;",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displayname="烧结与声共振操作",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workflow_type="experiment_operation")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def sintering_resonance_operation(crucible, powder, tray, task_no):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sintered = sintering_station.run_sintering(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crucible_position=1,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temperature_c=850, hold_s=600,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resource=material_source(crucible, site="C01"),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reagent=material_source(powder, site="A01"))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loaded = transport_robot.run_resonance_load(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source_position=2,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acceleration_g=2, frequency_hz=1000, time_s=30,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resource=material_source(tray, site="T02"))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transport_robot.run_resonance_unload(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source_position=1, target_position=2,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resource=loaded.resource)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return transport_robot.run_unloading(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task_no=task_no, pick_position=1, place_position=1,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graphite_boat_type=0, resource=sintered.resource)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发布门禁：两个操作的 workflow_type 都是 experiment_operation；每个操作至少有一个动作节点；节点 UUID 唯一；所引用设备、动作、资源和库位都已经注册。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七、建立父工作流并发布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父工作流负责组合操作和传递参数。它不重复实现设备通讯。每个父工作流至少调用一个已经发布的实验操作。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8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父工作流示例</w:t>
            </w:r>
          </w:p>
        </w:tc>
        <w:tc>
          <w:tcPr>
            <w:tcW w:type="dxa" w:w="31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子操作</w:t>
            </w:r>
          </w:p>
        </w:tc>
        <w:tc>
          <w:tcPr>
            <w:tcW w:type="dxa" w:w="33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发布顺序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样品上料与加样工作流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样品上料与加样操作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样品、乙醇、任务号、目标剂量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先发布 child，再保存/应用 parent，最后发布 parent</w:t>
            </w:r>
          </w:p>
        </w:tc>
      </w:tr>
      <w:tr>
        <w:trPr>
          <w:cantSplit/>
        </w:trPr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烧结与声共振工作流</w:t>
            </w:r>
          </w:p>
        </w:tc>
        <w:tc>
          <w:tcPr>
            <w:tcW w:type="dxa" w:w="316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烧结与声共振操作</w:t>
            </w:r>
          </w:p>
        </w:tc>
        <w:tc>
          <w:tcPr>
            <w:tcW w:type="dxa" w:w="338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坩埚、氧化铝、托盘、工艺参数、任务号</w:t>
            </w:r>
          </w:p>
        </w:tc>
        <w:tc>
          <w:tcPr>
            <w:tcW w:type="dxa" w:w="28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同上；child 合同/版本必须来自当前服务</w:t>
            </w:r>
          </w:p>
        </w:tc>
      </w:tr>
    </w:tbl>
    <w:p/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父工作流与子操作关系（示意代码）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@workflow(workflow_uuid="&lt;parent_uuid&gt;",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displayname="样品上料与加样工作流",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workflow_type="normal")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def sample_loading_workflow(inputs):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return sample_loading_operation(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sample=inputs.sample, ethanol=inputs.ethanol,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task_no=inputs.task_no, dose_g=inputs.dose_g)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1) child 发布成功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2) parent 保存并 apply authoring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3) parent 发布时使用当前 revision 和 child contract/version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pPr>
              <w:spacing w:before="0" w:after="120" w:line="276" w:lineRule="auto"/>
            </w:pPr>
            <w:r>
              <w:rPr>
                <w:rFonts w:ascii="Arial" w:hAnsi="Arial" w:eastAsia="Songti SC"/>
                <w:b w:val="0"/>
                <w:sz w:val="21"/>
              </w:rPr>
              <w:t>不要手填旧的 contract UUID、revision 或 digest。每次新建工作区都从当前服务的 authoring 和 publication 响应读取这些值，并把响应保存为本轮证据。</w:t>
            </w:r>
          </w:p>
        </w:tc>
      </w:tr>
    </w:tbl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八、启动 PLC-Sim 与 Uni-Lab OS 服务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启动前先确认目标环境的 Python/依赖、PLC-Sim 模式和 Uni-Lab OS 版本。安装背景和 PLC-Sim 操作可参考本手册开头的在线地址。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打开两个终端或两个服务面板：一个运行 PLC-Sim，一个运行 Uni-Lab OS Host、backend 和 edge。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让服务自行分配或显示协议端口；记录启动输出中的实际 endpoint，不在文档或脚本里写死端口。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等待 Host、backend、edge 均为 ready，再查询健康状态；若为 dry-run，确认运行模式与预期一致。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服务状态检查（命令示意）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export LAB_ROOT='&lt;包工作区&gt;'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export API_BASE='&lt;Uni-Lab OS API 地址&gt;'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export PLC_ENDPOINT='&lt;PLC-Sim 或真实 PLC 地址&gt;'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unilab workspace status --workspace "$LAB_ROOT" --json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curl -s "$API_BASE/health"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PLC_ENDPOINT 只用于当前环境配置，不复制到工作流业务逻辑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5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可以继续</w:t>
            </w:r>
          </w:p>
        </w:tc>
        <w:tc>
          <w:tcPr>
            <w:tcW w:type="dxa" w:w="46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需要处理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Host/backend/edge ready，health 正常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注册设备、加载资源、发布工作流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5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服务启动但 PLC 为 idle（dry-run）</w:t>
            </w:r>
          </w:p>
        </w:tc>
        <w:tc>
          <w:tcPr>
            <w:tcW w:type="dxa" w:w="316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可以做软件链路和动作 smoke</w:t>
            </w:r>
          </w:p>
        </w:tc>
        <w:tc>
          <w:tcPr>
            <w:tcW w:type="dxa" w:w="468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真实执行前还要完成协议和安全联锁验证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offline / unreachable / schema mismatch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—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查看服务日志、版本和 endpoint，修复后重新检查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九、加载、静态检查和动作 smoke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把设备包注册到当前工作区，确认包元数据、设备类型、资源模板和工作流源被识别。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执行静态检查：导入不应触发真实动作；所有装饰器、公开 ID、节点 UUID 和资源引用都应可解析。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逐个执行设备动作 smoke。只使用模拟数据或空载资源，验证参数校验、状态轮询、超时和错误映射。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加载与静态检查（命令示意）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unilab package inspect --path "$LAB_ROOT"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unilab package validate --path "$LAB_ROOT"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unilab device action-smoke --device &lt;设备实例 ID&gt; --action &lt;动作名&gt;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# 通过标准：设备可注册，动作可发现，dry-run 返回结构化 success/message/result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90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最低通过标准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</w:t>
            </w:r>
          </w:p>
        </w:tc>
        <w:tc>
          <w:tcPr>
            <w:tcW w:type="dxa" w:w="90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三个示例设备类型可加载，实例 ID 唯一，初始化不执行真实动作</w:t>
            </w:r>
          </w:p>
        </w:tc>
      </w:tr>
      <w:tr>
        <w:trPr>
          <w:cantSplit/>
        </w:trPr>
        <w:tc>
          <w:tcPr>
            <w:tcW w:type="dxa" w:w="230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动作</w:t>
            </w:r>
          </w:p>
        </w:tc>
        <w:tc>
          <w:tcPr>
            <w:tcW w:type="dxa" w:w="907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六个示例动作可发现；参数类型、单位、必填项和默认值明确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</w:t>
            </w:r>
          </w:p>
        </w:tc>
        <w:tc>
          <w:tcPr>
            <w:tcW w:type="dxa" w:w="90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托盘、坩埚、容器和工艺位可查询，库位类型与容量闭合</w:t>
            </w:r>
          </w:p>
        </w:tc>
      </w:tr>
      <w:tr>
        <w:trPr>
          <w:cantSplit/>
        </w:trPr>
        <w:tc>
          <w:tcPr>
            <w:tcW w:type="dxa" w:w="230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工作流源</w:t>
            </w:r>
          </w:p>
        </w:tc>
        <w:tc>
          <w:tcPr>
            <w:tcW w:type="dxa" w:w="907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两个 child 和两个 parent 的 UUID/节点标记唯一，引用关系可解析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驱动</w:t>
            </w:r>
          </w:p>
        </w:tc>
        <w:tc>
          <w:tcPr>
            <w:tcW w:type="dxa" w:w="90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dry-run 与真实驱动共享动作接口，未确认协议时拒绝真实写入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十、发布前检查、保存和发布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10.1 API 检查闭环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常用接口（路径示意；以目标服务 OpenAPI 为准）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{API_BASE}/health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{API_BASE}/workflows/{workflow_uuid}/authoring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POST {API_BASE}/workflows/{workflow_uuid}/publications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POST {API_BASE}/workflows/{workflow_uuid}/run-preflight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{API_BASE}/materials/graph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0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3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0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成功响应应保存什么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1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读取 child authoring</w:t>
            </w:r>
          </w:p>
        </w:tc>
        <w:tc>
          <w:tcPr>
            <w:tcW w:type="dxa" w:w="60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当前 workflow revision、diagnostics、source node UUID</w:t>
            </w:r>
          </w:p>
        </w:tc>
      </w:tr>
      <w:tr>
        <w:trPr>
          <w:cantSplit/>
        </w:trPr>
        <w:tc>
          <w:tcPr>
            <w:tcW w:type="dxa" w:w="100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43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发布 child</w:t>
            </w:r>
          </w:p>
        </w:tc>
        <w:tc>
          <w:tcPr>
            <w:tcW w:type="dxa" w:w="60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publication status、contract UUID、version、digest/source hash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保存并 apply parent</w:t>
            </w:r>
          </w:p>
        </w:tc>
        <w:tc>
          <w:tcPr>
            <w:tcW w:type="dxa" w:w="60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parent authoring revision、child contract/version 引用</w:t>
            </w:r>
          </w:p>
        </w:tc>
      </w:tr>
      <w:tr>
        <w:trPr>
          <w:cantSplit/>
        </w:trPr>
        <w:tc>
          <w:tcPr>
            <w:tcW w:type="dxa" w:w="100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4</w:t>
            </w:r>
          </w:p>
        </w:tc>
        <w:tc>
          <w:tcPr>
            <w:tcW w:type="dxa" w:w="43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发布 parent</w:t>
            </w:r>
          </w:p>
        </w:tc>
        <w:tc>
          <w:tcPr>
            <w:tcW w:type="dxa" w:w="604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parent publication status 和合同信息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运行 preflight</w:t>
            </w:r>
          </w:p>
        </w:tc>
        <w:tc>
          <w:tcPr>
            <w:tcW w:type="dxa" w:w="60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每个门禁的 pass/fail、诊断和所需资源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发布前的硬门禁：child 必须为 published；parent 必须为 normal 且引用当前 child；authoring 已 applied；diagnostics 为空；每个操作至少一个设备动作节点。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十一、准备实验任务并预检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11.1 任务输入示例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实验任务输入（示意 JSON）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"workflow_uuid": "&lt;published_parent_uuid&gt;",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"inputs": 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"sample_barcode": "SAMPLE-TRAY-####",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"reagent_barcode": "ETHANOL-####",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"crucible_barcode": "CRUCIBLE-####",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"powder_barcode": "ALUMINA-####",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"task_no": "&lt;PLC任务号&gt;",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"dose_g": 12.5,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"temperature_c": 850,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"hold_s": 600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}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11.2 实物与服务端库存同时就位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按资源图把样品托盘、试剂瓶、粉体瓶、坩埚和球磨珠容器放到示例库位；现场条码必须与服务端实例一致。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拍照或记录摆放前快照，查询所有相关物料的 current_site、数量和 revision。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运行 parent 的 run-preflight；确认设备 ready、动作参数在范围内、库位空闲、试剂余量足够、child/parent 已发布。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预检门禁</w:t>
            </w:r>
          </w:p>
        </w:tc>
        <w:tc>
          <w:tcPr>
            <w:tcW w:type="dxa" w:w="489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44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不通过时的调整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发布状态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工作流和 child 合同为当前版本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重新读取 authoring，按 child → parent 顺序发布</w:t>
            </w:r>
          </w:p>
        </w:tc>
      </w:tr>
      <w:tr>
        <w:trPr>
          <w:cantSplit/>
        </w:trPr>
        <w:tc>
          <w:tcPr>
            <w:tcW w:type="dxa" w:w="20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设备状态</w:t>
            </w:r>
          </w:p>
        </w:tc>
        <w:tc>
          <w:tcPr>
            <w:tcW w:type="dxa" w:w="48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Host、设备实例和驱动 ready</w:t>
            </w:r>
          </w:p>
        </w:tc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检查服务状态、endpoint、模式和安全联锁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资源占用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每个输入物料只在一个合法库位，目标位可用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先查 active 任务和占用，再受控移动</w:t>
            </w:r>
          </w:p>
        </w:tc>
      </w:tr>
      <w:tr>
        <w:trPr>
          <w:cantSplit/>
        </w:trPr>
        <w:tc>
          <w:tcPr>
            <w:tcW w:type="dxa" w:w="20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库存数量</w:t>
            </w:r>
          </w:p>
        </w:tc>
        <w:tc>
          <w:tcPr>
            <w:tcW w:type="dxa" w:w="489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当前量 − 预计消耗 ≥ 最低可用量</w:t>
            </w:r>
          </w:p>
        </w:tc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补充试剂或降低批量，重新预检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参数范围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温度、时间、重量、频率、加速度均有单位且在限值内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修改任务输入，不绕过动作入口校验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十二、执行两个实验任务并记录结果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12.1 任务一：样品上料与加样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提交已发布的“样品上料与加样工作流”，使用一组新的 PLC 任务号和实际条码。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等待任务进入可执行状态；记录 task UUID、job UUID、设备动作顺序和每个状态变化。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确认上料状态完成、加样结果 OK、实际重量在容差内，且乙醇消耗被结算。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12.2 任务二：烧结与声共振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提交已发布的“烧结与声共振工作流”，使用实际坩埚、粉体和托盘条码。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确认烧结上料、声共振上料、声共振下料和烧结下料按顺序完成；每个动作均有成功事件。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确认坩埚、托盘和剩余试剂的最终库位/数量与实验设计一致。</w:t>
      </w:r>
    </w:p>
    <w:p>
      <w:pPr>
        <w:spacing w:before="60" w:after="40" w:line="276" w:lineRule="auto"/>
      </w:pPr>
      <w:r>
        <w:rPr>
          <w:rFonts w:ascii="Arial" w:hAnsi="Arial" w:eastAsia="Songti SC"/>
          <w:b/>
          <w:color w:val="1F4E79"/>
          <w:sz w:val="18"/>
        </w:rPr>
        <w:t>任务状态和证据查询（接口示意）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POST {API_BASE}/workflow-tasks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{API_BASE}/workflow-tasks/{task_uuid}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{API_BASE}/workflow-tasks/{task_uuid}/jobs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{API_BASE}/workflow-tasks/{task_uuid}/events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GET  {API_BASE}/workflow-tasks/{task_uuid}/inventory-consumptions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80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证据类别</w:t>
            </w:r>
          </w:p>
        </w:tc>
        <w:tc>
          <w:tcPr>
            <w:tcW w:type="dxa" w:w="95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至少记录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任务</w:t>
            </w:r>
          </w:p>
        </w:tc>
        <w:tc>
          <w:tcPr>
            <w:tcW w:type="dxa" w:w="9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task UUID、parent workflow UUID、提交时间、最终状态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作业</w:t>
            </w:r>
          </w:p>
        </w:tc>
        <w:tc>
          <w:tcPr>
            <w:tcW w:type="dxa" w:w="957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job UUID、动作名、开始/结束时间、状态和错误信息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</w:t>
            </w:r>
          </w:p>
        </w:tc>
        <w:tc>
          <w:tcPr>
            <w:tcW w:type="dxa" w:w="9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任务号、写入参数、返回状态、实际重量/结果、超时信息</w:t>
            </w:r>
          </w:p>
        </w:tc>
      </w:tr>
      <w:tr>
        <w:trPr>
          <w:cantSplit/>
        </w:trPr>
        <w:tc>
          <w:tcPr>
            <w:tcW w:type="dxa" w:w="180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库存</w:t>
            </w:r>
          </w:p>
        </w:tc>
        <w:tc>
          <w:tcPr>
            <w:tcW w:type="dxa" w:w="957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 UUID、条码、执行前后库位、试剂消耗和单位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发布</w:t>
            </w:r>
          </w:p>
        </w:tc>
        <w:tc>
          <w:tcPr>
            <w:tcW w:type="dxa" w:w="9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child/parent publication status、contract/version、revision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pPr>
              <w:spacing w:before="0" w:after="120" w:line="276" w:lineRule="auto"/>
            </w:pPr>
            <w:r>
              <w:rPr>
                <w:rFonts w:ascii="Arial" w:hAnsi="Arial" w:eastAsia="Songti SC"/>
                <w:b w:val="0"/>
                <w:sz w:val="21"/>
              </w:rPr>
              <w:t>只有服务端任务终态、作业终态、库存结算和事件记录都一致，才把任务标记为“执行成功”。命令行超时本身不能证明服务端任务已停止。</w:t>
            </w:r>
          </w:p>
        </w:tc>
      </w:tr>
    </w:tbl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十三、不满足条件时的调整处理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8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53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处理顺序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CSV 无法解析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编码或列结构不符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保留原始字节 → 检查编码 → 检查列名/重复变量 → 重新生成映射</w:t>
            </w:r>
          </w:p>
        </w:tc>
      </w:tr>
      <w:tr>
        <w:trPr>
          <w:cantSplit/>
        </w:trPr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设备动作不可发现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设备未注册、导入失败或 ID 不一致</w:t>
            </w:r>
          </w:p>
        </w:tc>
        <w:tc>
          <w:tcPr>
            <w:tcW w:type="dxa" w:w="53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查注册清单 → 查动作索引 → 修正声明 → 重启/重新加载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child 发布失败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类型不是 experiment_operation、节点 UUID 重复或诊断不为空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读取 authoring diagnostics → 修正节点/引用 → 重新保存和发布</w:t>
            </w:r>
          </w:p>
        </w:tc>
      </w:tr>
      <w:tr>
        <w:trPr>
          <w:cantSplit/>
        </w:trPr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parent invalid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child 未发布或 contract/version 过期</w:t>
            </w:r>
          </w:p>
        </w:tc>
        <w:tc>
          <w:tcPr>
            <w:tcW w:type="dxa" w:w="53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先发布 child → 重新读取 parent authoring → apply → 发布 parent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预检缺料/占位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条码、库位、容器或数量不满足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盘点实物和服务端 → 受控摆放 → 重新预检</w:t>
            </w:r>
          </w:p>
        </w:tc>
      </w:tr>
      <w:tr>
        <w:trPr>
          <w:cantSplit/>
        </w:trPr>
        <w:tc>
          <w:tcPr>
            <w:tcW w:type="dxa" w:w="22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任务 failed/unknown</w:t>
            </w:r>
          </w:p>
        </w:tc>
        <w:tc>
          <w:tcPr>
            <w:tcW w:type="dxa" w:w="38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 返回失败、断线、超时或动作幂等问题</w:t>
            </w:r>
          </w:p>
        </w:tc>
        <w:tc>
          <w:tcPr>
            <w:tcW w:type="dxa" w:w="5328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保留 task/jobs/events → 确认设备安全状态 → 依据恢复方案处理，不盲目重提</w:t>
            </w:r>
          </w:p>
        </w:tc>
      </w:tr>
    </w:tbl>
    <w:p/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13.1 受控库存恢复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先查询相关任务是否 active、unknown 或存在未结算 consumption；有则先完成任务处置。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读取物料最新 revision 和 current_site，确认目标位空闲且类型兼容。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使用 expected_revision 执行放置，重新读取确认；记录恢复原因、操作者和时间。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Songti SC"/>
          <w:b w:val="0"/>
          <w:sz w:val="21"/>
        </w:rPr>
        <w:t>恢复不会补回已经消耗的试剂；补充数量必须依据实际盘点。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十四、最终验收清单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65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63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验收问题</w:t>
            </w:r>
          </w:p>
        </w:tc>
        <w:tc>
          <w:tcPr>
            <w:tcW w:type="dxa" w:w="25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结果栏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输入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CSV 编码、列结构、变量名唯一，原始字节有记录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</w:t>
            </w:r>
          </w:p>
        </w:tc>
        <w:tc>
          <w:tcPr>
            <w:tcW w:type="dxa" w:w="76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设备类型和实例可加载，导入不触发真实动作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动作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每个动作有参数/单位/状态机，至少完成一次 smoke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</w:t>
            </w:r>
          </w:p>
        </w:tc>
        <w:tc>
          <w:tcPr>
            <w:tcW w:type="dxa" w:w="76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资源模板、库位 content_type、容量和父子关系闭合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物料/试剂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条码、容器、数量、最低库存和实际摆放一致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操作</w:t>
            </w:r>
          </w:p>
        </w:tc>
        <w:tc>
          <w:tcPr>
            <w:tcW w:type="dxa" w:w="76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两个 child 都是 experiment_operation，且各含设备动作节点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工作流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两个 parent 都是 normal，并引用已发布 child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发布</w:t>
            </w:r>
          </w:p>
        </w:tc>
        <w:tc>
          <w:tcPr>
            <w:tcW w:type="dxa" w:w="76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authoring applied、diagnostics 为空、publication 成功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执行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两个任务预检通过，终态 succeeded，事件和库存结算一致</w:t>
            </w:r>
          </w:p>
        </w:tc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  <w:tr>
        <w:trPr>
          <w:cantSplit/>
        </w:trPr>
        <w:tc>
          <w:tcPr>
            <w:tcW w:type="dxa" w:w="165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证据</w:t>
            </w:r>
          </w:p>
        </w:tc>
        <w:tc>
          <w:tcPr>
            <w:tcW w:type="dxa" w:w="763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保存本轮 UUID、版本、时间、模式、日志和库存快照</w:t>
            </w:r>
          </w:p>
        </w:tc>
        <w:tc>
          <w:tcPr>
            <w:tcW w:type="dxa" w:w="252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□ 通过  □ 待处理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附录 A｜可复用的最小模板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A.1 动作返回值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"success": true,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"message": "动作完成",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"status_code": 2,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"task_no": "&lt;PLC任务号&gt;",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"resource": "&lt;material_uuid&gt;",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"site": "&lt;site_uuid&gt;",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"result": "success",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"evidence": {"started_at": "&lt;timestamp&gt;", "finished_at": "&lt;timestamp&gt;"}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}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A.2 状态机约定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未执行(0) → 执行中(1) → 执行完成(2)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                       ↘ 任务失败(3)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动作轮询必须设置超时；超时后返回 unknown/timeout，保留最后一次状态和请求参数。</w:t>
      </w:r>
    </w:p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A.3 变量映射登记表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8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动作名</w:t>
            </w:r>
          </w:p>
        </w:tc>
        <w:tc>
          <w:tcPr>
            <w:tcW w:type="dxa" w:w="33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写入字段</w:t>
            </w:r>
          </w:p>
        </w:tc>
        <w:tc>
          <w:tcPr>
            <w:tcW w:type="dxa" w:w="30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读取字段</w:t>
            </w:r>
          </w:p>
        </w:tc>
        <w:tc>
          <w:tcPr>
            <w:tcW w:type="dxa" w:w="201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21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&lt;action_name&gt;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&lt;write_variable&gt;</w:t>
            </w:r>
          </w:p>
        </w:tc>
        <w:tc>
          <w:tcPr>
            <w:tcW w:type="dxa" w:w="30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&lt;status_variable&gt;</w:t>
            </w:r>
          </w:p>
        </w:tc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&lt;INT/REAL + unit&gt;</w:t>
            </w:r>
          </w:p>
        </w:tc>
        <w:tc>
          <w:tcPr>
            <w:tcW w:type="dxa" w:w="21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任务号和触发约定</w:t>
            </w:r>
          </w:p>
        </w:tc>
      </w:tr>
      <w:tr>
        <w:trPr>
          <w:cantSplit/>
        </w:trPr>
        <w:tc>
          <w:tcPr>
            <w:tcW w:type="dxa" w:w="187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&lt;action_name&gt;</w:t>
            </w:r>
          </w:p>
        </w:tc>
        <w:tc>
          <w:tcPr>
            <w:tcW w:type="dxa" w:w="331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&lt;parameter_variable&gt;</w:t>
            </w:r>
          </w:p>
        </w:tc>
        <w:tc>
          <w:tcPr>
            <w:tcW w:type="dxa" w:w="302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&lt;result_variable&gt;</w:t>
            </w:r>
          </w:p>
        </w:tc>
        <w:tc>
          <w:tcPr>
            <w:tcW w:type="dxa" w:w="2016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&lt;type + unit&gt;</w:t>
            </w:r>
          </w:p>
        </w:tc>
        <w:tc>
          <w:tcPr>
            <w:tcW w:type="dxa" w:w="2160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范围与精度</w:t>
            </w:r>
          </w:p>
        </w:tc>
      </w:tr>
    </w:tbl>
    <w:p/>
    <w:p>
      <w:pPr>
        <w:pStyle w:val="Heading2"/>
        <w:spacing w:before="140" w:after="100" w:line="252" w:lineRule="auto"/>
      </w:pPr>
      <w:r>
        <w:rPr>
          <w:rFonts w:ascii="Arial" w:hAnsi="Arial" w:eastAsia="Songti SC"/>
          <w:b/>
          <w:color w:val="1F4E79"/>
          <w:sz w:val="25"/>
        </w:rPr>
        <w:t>A.4 运行证据索引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{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"source": "&lt;CSV源说明&gt;",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"package_identity": "&lt;示例设备包 ID&gt;",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"published_workflows": ["&lt;child_uuid&gt;", "&lt;parent_uuid&gt;"],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"tasks": ["&lt;task_uuid_1&gt;", "&lt;task_uuid_2&gt;"],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"runtime_mode": "&lt;dry-run|real&gt;",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"captured_at": "&lt;timestamp&gt;",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 xml:space="preserve">  "inventory_snapshot": "&lt;snapshot reference&gt;"</w:t>
      </w:r>
    </w:p>
    <w:p>
      <w:pPr>
        <w:pStyle w:val="Code"/>
        <w:spacing w:before="0" w:after="0" w:line="240" w:lineRule="auto"/>
        <w:ind w:left="259" w:right="173"/>
      </w:pPr>
      <w:r>
        <w:rPr>
          <w:rFonts w:ascii="Menlo" w:hAnsi="Menlo" w:eastAsia="Songti SC"/>
          <w:b w:val="0"/>
          <w:color w:val="222222"/>
          <w:sz w:val="16"/>
        </w:rPr>
        <w:t>}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Songti SC"/>
          <w:b/>
          <w:color w:val="1F4E79"/>
          <w:sz w:val="32"/>
        </w:rPr>
        <w:t>附录 B｜交付前填写页</w:t>
      </w:r>
    </w:p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将下表复制到项目记录中填写。填写内容应来自当前服务和当前实物盘点，不能从旧任务或别的工作区复制。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4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center"/>
            </w:pPr>
            <w:r/>
            <w:r>
              <w:rPr>
                <w:rFonts w:ascii="Arial" w:hAnsi="Arial" w:eastAsia="Songti SC"/>
                <w:b/>
                <w:color w:val="FFFFFF"/>
                <w:sz w:val="18"/>
              </w:rPr>
              <w:t>本轮实际值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CSV 编码 / 行数 / 校验值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Uni-Lab OS API 地址 / 运行模式</w:t>
            </w:r>
          </w:p>
        </w:tc>
        <w:tc>
          <w:tcPr>
            <w:tcW w:type="dxa" w:w="691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PLC endpoint / 协议确认人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设备实例与动作清单</w:t>
            </w:r>
          </w:p>
        </w:tc>
        <w:tc>
          <w:tcPr>
            <w:tcW w:type="dxa" w:w="691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库位图版本 / 物料条码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child publication / contract / revision</w:t>
            </w:r>
          </w:p>
        </w:tc>
        <w:tc>
          <w:tcPr>
            <w:tcW w:type="dxa" w:w="691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parent publication / contract / revision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任务 UUID 与最终状态</w:t>
            </w:r>
          </w:p>
        </w:tc>
        <w:tc>
          <w:tcPr>
            <w:tcW w:type="dxa" w:w="6912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  <w:t>异常、调整和恢复记录</w:t>
            </w:r>
          </w:p>
        </w:tc>
        <w:tc>
          <w:tcPr>
            <w:tcW w:type="dxa" w:w="69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jc w:val="left"/>
            </w:pPr>
            <w:r/>
            <w:r>
              <w:rPr>
                <w:rFonts w:ascii="Arial" w:hAnsi="Arial" w:eastAsia="Songti SC"/>
                <w:b w:val="0"/>
                <w:sz w:val="18"/>
              </w:rPr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Songti SC"/>
          <w:b w:val="0"/>
          <w:sz w:val="21"/>
        </w:rPr>
        <w:t>完成以上填写并核对“最终验收清单”后，才把设备包和工作流交给下一位操作者或现场系统。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Songti SC"/>
        <w:b w:val="0"/>
        <w:color w:val="6B7280"/>
        <w:sz w:val="17"/>
      </w:rPr>
      <w:t xml:space="preserve">示例值均需按目标环境替换　|　页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Songti SC"/>
        <w:b w:val="0"/>
        <w:color w:val="6B7280"/>
        <w:sz w:val="17"/>
      </w:rPr>
      <w:t>PLC 通讯变量表 → Uni-Lab OS：通用引导说明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ongti SC"/>
      <w:b/>
      <w:bCs/>
      <w:color w:val="3F6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Menlo" w:hAnsi="Menlo" w:eastAsia="Heiti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aoyi971102-gif/Uni-Lab-Sim/tree/main/PLC-Sim/docs/product_manual" TargetMode="External"/><Relationship Id="rId12" Type="http://schemas.openxmlformats.org/officeDocument/2006/relationships/hyperlink" Target="http://115.190.137.109:30184/unilabos-installation.html" TargetMode="External"/><Relationship Id="rId13" Type="http://schemas.openxmlformats.org/officeDocument/2006/relationships/hyperlink" Target="http://115.190.137.109:30184/demo-la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PLC 通讯变量表到 Uni-Lab OS 通用引导操作说明</dc:title>
  <dc:subject>设备、动作、库位、物料、实验操作、工作流与任务执行的可迁移指南</dc:subject>
  <dc:creator>Uni-Lab</dc:creator>
  <cp:keywords/>
  <dc:description>示例值和占位符需按目标环境替换；在线参考资料以文档中的超链接为准。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