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B9" w:rsidRPr="007547DE" w:rsidRDefault="00E14187" w:rsidP="007547DE">
      <w:pPr>
        <w:jc w:val="center"/>
        <w:rPr>
          <w:b/>
          <w:sz w:val="30"/>
          <w:szCs w:val="30"/>
        </w:rPr>
      </w:pPr>
      <w:r w:rsidRPr="007547DE">
        <w:rPr>
          <w:rFonts w:hint="eastAsia"/>
          <w:b/>
          <w:sz w:val="30"/>
          <w:szCs w:val="30"/>
        </w:rPr>
        <w:t>电磁场与电磁波</w:t>
      </w:r>
      <w:r w:rsidR="00636B25" w:rsidRPr="007547DE">
        <w:rPr>
          <w:rFonts w:hint="eastAsia"/>
          <w:b/>
          <w:sz w:val="30"/>
          <w:szCs w:val="30"/>
        </w:rPr>
        <w:t>课程知识导图与核心知识点速记表</w:t>
      </w:r>
    </w:p>
    <w:p w:rsidR="00296AE2" w:rsidRPr="00636B25" w:rsidRDefault="00636B25" w:rsidP="007547DE">
      <w:pPr>
        <w:adjustRightInd w:val="0"/>
        <w:snapToGrid w:val="0"/>
        <w:spacing w:line="200" w:lineRule="atLeast"/>
        <w:ind w:firstLine="573"/>
      </w:pPr>
      <w:r w:rsidRPr="00E14187"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首先从“一般到特殊</w:t>
      </w:r>
      <w:r w:rsidRPr="00E14187">
        <w:rPr>
          <w:rFonts w:ascii="仿宋_GB2312" w:eastAsia="仿宋_GB2312" w:hAnsi="仿宋_GB2312" w:cs="仿宋_GB2312"/>
          <w:color w:val="000000"/>
          <w:sz w:val="24"/>
          <w:szCs w:val="24"/>
        </w:rPr>
        <w:t>—</w:t>
      </w:r>
      <w:r w:rsidRPr="00E14187"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再从特殊到一般”的认知路径出发，将课程的“场论</w:t>
      </w:r>
      <w:r w:rsidRPr="00E14187">
        <w:rPr>
          <w:rFonts w:ascii="仿宋_GB2312" w:eastAsia="仿宋_GB2312" w:hAnsi="仿宋_GB2312" w:cs="仿宋_GB2312"/>
          <w:color w:val="000000"/>
          <w:sz w:val="24"/>
          <w:szCs w:val="24"/>
        </w:rPr>
        <w:t>-静电场-恒定磁场-时变电磁场-电磁波”五个核心知识</w:t>
      </w:r>
      <w:r w:rsidRPr="00E14187"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模块串起来，形成以场论为基础，以</w:t>
      </w:r>
      <w:r w:rsidRPr="00E14187">
        <w:rPr>
          <w:rFonts w:ascii="仿宋_GB2312" w:eastAsia="仿宋_GB2312" w:hAnsi="仿宋_GB2312" w:cs="仿宋_GB2312"/>
          <w:color w:val="000000"/>
          <w:sz w:val="24"/>
          <w:szCs w:val="24"/>
        </w:rPr>
        <w:t>Maxwell方程为核心，</w:t>
      </w:r>
      <w:r w:rsidRPr="00E14187"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以静态场和电磁波为两翼的思维导图</w:t>
      </w:r>
      <w:r w:rsidRPr="00E14187">
        <w:rPr>
          <w:rFonts w:ascii="仿宋_GB2312" w:eastAsia="仿宋_GB2312" w:hAnsi="仿宋_GB2312" w:cs="仿宋_GB2312"/>
          <w:color w:val="000000"/>
          <w:sz w:val="24"/>
          <w:szCs w:val="24"/>
        </w:rPr>
        <w:t>,使学生</w:t>
      </w:r>
      <w:r w:rsidRPr="00E14187"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在学习过程中</w:t>
      </w:r>
      <w:r w:rsidRPr="00E14187">
        <w:rPr>
          <w:rFonts w:ascii="仿宋_GB2312" w:eastAsia="仿宋_GB2312" w:hAnsi="仿宋_GB2312" w:cs="仿宋_GB2312"/>
          <w:color w:val="000000"/>
          <w:sz w:val="24"/>
          <w:szCs w:val="24"/>
        </w:rPr>
        <w:t>能统揽全局</w:t>
      </w:r>
      <w:r w:rsidRPr="00E14187"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；然后梳理总结核心知识点</w:t>
      </w:r>
      <w:r w:rsidRPr="00E14187">
        <w:rPr>
          <w:rFonts w:ascii="仿宋_GB2312" w:eastAsia="仿宋_GB2312" w:hAnsi="仿宋_GB2312" w:cs="仿宋_GB2312"/>
          <w:color w:val="000000"/>
          <w:sz w:val="24"/>
          <w:szCs w:val="24"/>
        </w:rPr>
        <w:t>,制作</w:t>
      </w:r>
      <w:r w:rsidRPr="00E14187"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知识点速记表，并在其中突出工程概念，体现工程教育理念。</w:t>
      </w:r>
    </w:p>
    <w:p w:rsidR="00296AE2" w:rsidRDefault="00636B25">
      <w:r>
        <w:rPr>
          <w:noProof/>
        </w:rPr>
        <w:drawing>
          <wp:inline distT="0" distB="0" distL="114300" distR="114300">
            <wp:extent cx="2857500" cy="1905143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184" cy="191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B25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019425" cy="2147696"/>
            <wp:effectExtent l="19050" t="0" r="9525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25" w:rsidRDefault="00636B25">
      <w:r>
        <w:rPr>
          <w:rFonts w:hint="eastAsia"/>
        </w:rPr>
        <w:t xml:space="preserve">             图1   知识关联图               </w:t>
      </w:r>
      <w:r w:rsidR="007547DE">
        <w:rPr>
          <w:rFonts w:hint="eastAsia"/>
        </w:rPr>
        <w:t xml:space="preserve">             </w:t>
      </w:r>
      <w:r>
        <w:rPr>
          <w:rFonts w:hint="eastAsia"/>
        </w:rPr>
        <w:t>图2  知识思维导图</w:t>
      </w:r>
    </w:p>
    <w:p w:rsidR="007547DE" w:rsidRDefault="007547DE"/>
    <w:p w:rsidR="00636B25" w:rsidRPr="005B1E78" w:rsidRDefault="00636B25">
      <w:pPr>
        <w:rPr>
          <w:b/>
        </w:rPr>
      </w:pPr>
      <w:r>
        <w:rPr>
          <w:rFonts w:hint="eastAsia"/>
        </w:rPr>
        <w:t xml:space="preserve">                                </w:t>
      </w:r>
      <w:r w:rsidRPr="005B1E78">
        <w:rPr>
          <w:rFonts w:hint="eastAsia"/>
          <w:b/>
          <w:sz w:val="24"/>
        </w:rPr>
        <w:t xml:space="preserve"> 核心知识点速记表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6"/>
        <w:gridCol w:w="7020"/>
      </w:tblGrid>
      <w:tr w:rsidR="00636B25" w:rsidRPr="00636B25" w:rsidTr="007547DE">
        <w:trPr>
          <w:trHeight w:val="527"/>
          <w:jc w:val="center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636B2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FFFFFF" w:themeColor="light1"/>
                <w:kern w:val="24"/>
                <w:sz w:val="24"/>
                <w:szCs w:val="32"/>
              </w:rPr>
              <w:t>章号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33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636B2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FFFFFF" w:themeColor="light1"/>
                <w:kern w:val="24"/>
                <w:sz w:val="24"/>
                <w:szCs w:val="32"/>
              </w:rPr>
              <w:t>核心知识点</w:t>
            </w:r>
          </w:p>
        </w:tc>
      </w:tr>
      <w:tr w:rsidR="00636B25" w:rsidRPr="00636B25" w:rsidTr="008122E8">
        <w:trPr>
          <w:trHeight w:val="921"/>
          <w:jc w:val="center"/>
        </w:trPr>
        <w:tc>
          <w:tcPr>
            <w:tcW w:w="12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636B2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第一章</w:t>
            </w:r>
          </w:p>
        </w:tc>
        <w:tc>
          <w:tcPr>
            <w:tcW w:w="7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8122E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三量（通量、环量、方向导数）、三度（散度、旋度、梯度）、三定理（高斯定理、斯托克斯定理、亥姆霍茨定理）</w:t>
            </w:r>
          </w:p>
        </w:tc>
      </w:tr>
      <w:tr w:rsidR="00636B25" w:rsidRPr="00636B25" w:rsidTr="008122E8">
        <w:trPr>
          <w:trHeight w:val="818"/>
          <w:jc w:val="center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636B2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第二章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8122E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三基（基本方程、本构关系、边界条件）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 xml:space="preserve"> 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二量（电容、电导）二应用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 xml:space="preserve"> 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（电耦合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 xml:space="preserve"> 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接地）</w:t>
            </w:r>
          </w:p>
        </w:tc>
      </w:tr>
      <w:tr w:rsidR="00636B25" w:rsidRPr="00636B25" w:rsidTr="008122E8">
        <w:trPr>
          <w:trHeight w:val="809"/>
          <w:jc w:val="center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636B2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第三章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8122E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一定理（唯一性定理）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 xml:space="preserve"> 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三应用（镜像法、分离变量法、有限差分法）</w:t>
            </w:r>
          </w:p>
        </w:tc>
      </w:tr>
      <w:tr w:rsidR="00636B25" w:rsidRPr="00636B25" w:rsidTr="008122E8">
        <w:trPr>
          <w:trHeight w:val="815"/>
          <w:jc w:val="center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636B2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第四章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8122E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三基（基本方程、本构关系、边界条件）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 xml:space="preserve"> 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二量（自感、互感）一应用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 xml:space="preserve"> 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（磁耦合）</w:t>
            </w:r>
          </w:p>
        </w:tc>
      </w:tr>
      <w:tr w:rsidR="00636B25" w:rsidRPr="00636B25" w:rsidTr="008122E8">
        <w:trPr>
          <w:trHeight w:val="1005"/>
          <w:jc w:val="center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636B2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第五章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8122E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一核心（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Maxwell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方程组）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 xml:space="preserve"> 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二要素（位移电流、坡印廷矢量）二应用（简谐场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 xml:space="preserve">  </w:t>
            </w: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电磁波）</w:t>
            </w:r>
          </w:p>
        </w:tc>
      </w:tr>
      <w:tr w:rsidR="00636B25" w:rsidRPr="00636B25" w:rsidTr="008122E8">
        <w:trPr>
          <w:trHeight w:val="899"/>
          <w:jc w:val="center"/>
        </w:trPr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636B2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第六章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6B25" w:rsidRPr="008122E8" w:rsidRDefault="00636B25" w:rsidP="00636B2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8122E8">
              <w:rPr>
                <w:rFonts w:ascii="Arial" w:eastAsia="宋体" w:hAnsi="宋体" w:cs="Arial" w:hint="eastAsia"/>
                <w:b/>
                <w:bCs/>
                <w:color w:val="000000" w:themeColor="dark1"/>
                <w:kern w:val="24"/>
                <w:sz w:val="24"/>
                <w:szCs w:val="32"/>
              </w:rPr>
              <w:t>三种波（介质、导电媒质、良导体）、三参量（极化、相速与群速）、三特性（反射、垂直入射与斜入射）</w:t>
            </w:r>
          </w:p>
        </w:tc>
      </w:tr>
    </w:tbl>
    <w:p w:rsidR="00257C0C" w:rsidRDefault="00257C0C" w:rsidP="007547DE">
      <w:pPr>
        <w:rPr>
          <w:noProof/>
        </w:rPr>
      </w:pPr>
    </w:p>
    <w:p w:rsidR="00257C0C" w:rsidRDefault="00257C0C" w:rsidP="00257C0C">
      <w:pPr>
        <w:jc w:val="center"/>
        <w:rPr>
          <w:rFonts w:ascii="仿宋_GB2312" w:eastAsia="仿宋_GB2312" w:hAnsi="仿宋_GB2312" w:cs="仿宋_GB2312"/>
          <w:b/>
          <w:color w:val="000000"/>
          <w:sz w:val="28"/>
          <w:szCs w:val="24"/>
        </w:rPr>
      </w:pPr>
    </w:p>
    <w:p w:rsidR="00257C0C" w:rsidRDefault="00257C0C" w:rsidP="00257C0C">
      <w:pPr>
        <w:jc w:val="center"/>
        <w:rPr>
          <w:rFonts w:ascii="仿宋_GB2312" w:eastAsia="仿宋_GB2312" w:hAnsi="仿宋_GB2312" w:cs="仿宋_GB2312"/>
          <w:b/>
          <w:color w:val="000000"/>
          <w:sz w:val="28"/>
          <w:szCs w:val="24"/>
        </w:rPr>
      </w:pPr>
    </w:p>
    <w:p w:rsidR="00257C0C" w:rsidRPr="000350C6" w:rsidRDefault="00257C0C" w:rsidP="00257C0C">
      <w:pPr>
        <w:jc w:val="center"/>
        <w:rPr>
          <w:rFonts w:ascii="仿宋_GB2312" w:eastAsia="仿宋_GB2312" w:hAnsi="仿宋_GB2312" w:cs="仿宋_GB2312"/>
          <w:b/>
          <w:color w:val="000000"/>
          <w:sz w:val="28"/>
          <w:szCs w:val="24"/>
        </w:rPr>
      </w:pPr>
      <w:bookmarkStart w:id="0" w:name="_GoBack"/>
      <w:bookmarkEnd w:id="0"/>
      <w:r w:rsidRPr="000350C6">
        <w:rPr>
          <w:rFonts w:ascii="仿宋_GB2312" w:eastAsia="仿宋_GB2312" w:hAnsi="仿宋_GB2312" w:cs="仿宋_GB2312" w:hint="eastAsia"/>
          <w:b/>
          <w:color w:val="000000"/>
          <w:sz w:val="28"/>
          <w:szCs w:val="24"/>
        </w:rPr>
        <w:lastRenderedPageBreak/>
        <w:t>课程教学内容分解矩阵</w:t>
      </w:r>
    </w:p>
    <w:p w:rsidR="00257C0C" w:rsidRDefault="00257C0C" w:rsidP="00257C0C">
      <w:pPr>
        <w:ind w:firstLine="570"/>
        <w:rPr>
          <w:rFonts w:ascii="仿宋_GB2312" w:eastAsia="仿宋_GB2312" w:hAnsi="仿宋_GB2312" w:cs="仿宋_GB2312"/>
          <w:color w:val="000000"/>
          <w:sz w:val="24"/>
          <w:szCs w:val="24"/>
        </w:rPr>
      </w:pPr>
    </w:p>
    <w:p w:rsidR="00257C0C" w:rsidRDefault="00257C0C" w:rsidP="00257C0C">
      <w:pPr>
        <w:ind w:firstLine="570"/>
        <w:rPr>
          <w:rFonts w:ascii="仿宋_GB2312" w:eastAsia="仿宋_GB2312" w:hAnsi="仿宋_GB2312" w:cs="仿宋_GB2312"/>
          <w:color w:val="000000"/>
          <w:sz w:val="24"/>
          <w:szCs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我们将课程各章内容从基本原理、基本方法、工程应用以及科学方法论四个维度进行了详细分解，制成</w:t>
      </w:r>
      <w:r>
        <w:rPr>
          <w:rFonts w:ascii="仿宋_GB2312" w:eastAsia="仿宋_GB2312" w:hAnsi="仿宋_GB2312" w:cs="仿宋_GB2312"/>
          <w:color w:val="000000"/>
          <w:sz w:val="24"/>
          <w:szCs w:val="24"/>
        </w:rPr>
        <w:t>教学内容</w:t>
      </w:r>
      <w:r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分解矩阵</w:t>
      </w:r>
      <w:r>
        <w:rPr>
          <w:rFonts w:ascii="仿宋_GB2312" w:eastAsia="仿宋_GB2312" w:hAnsi="仿宋_GB2312" w:cs="仿宋_GB2312"/>
          <w:color w:val="000000"/>
          <w:sz w:val="24"/>
          <w:szCs w:val="24"/>
        </w:rPr>
        <w:t>表</w:t>
      </w:r>
      <w:r>
        <w:rPr>
          <w:rFonts w:ascii="仿宋_GB2312" w:eastAsia="仿宋_GB2312" w:hAnsi="仿宋_GB2312" w:cs="仿宋_GB2312" w:hint="eastAsia"/>
          <w:color w:val="000000"/>
          <w:sz w:val="24"/>
          <w:szCs w:val="24"/>
        </w:rPr>
        <w:t>，便于同学理解。同时特别强调在教学中要关注科学方法论，如现象与本质、普遍和特殊、主要矛盾与次要矛盾的转化等，提升同学们的科学思维能力。</w:t>
      </w:r>
      <w:r>
        <w:rPr>
          <w:rFonts w:ascii="仿宋_GB2312" w:eastAsia="仿宋_GB2312" w:hAnsi="仿宋_GB2312" w:cs="仿宋_GB2312"/>
          <w:color w:val="000000"/>
          <w:sz w:val="24"/>
          <w:szCs w:val="24"/>
        </w:rPr>
        <w:t xml:space="preserve">   </w:t>
      </w:r>
      <w:r>
        <w:rPr>
          <w:rFonts w:ascii="仿宋_GB2312" w:eastAsia="仿宋_GB2312" w:hAnsi="仿宋_GB2312" w:cs="仿宋_GB2312" w:hint="eastAsia"/>
          <w:color w:val="000000"/>
          <w:sz w:val="24"/>
          <w:szCs w:val="24"/>
        </w:rPr>
        <w:t xml:space="preserve">            </w:t>
      </w:r>
    </w:p>
    <w:p w:rsidR="00257C0C" w:rsidRPr="00257C0C" w:rsidRDefault="00257C0C" w:rsidP="007547DE">
      <w:pPr>
        <w:rPr>
          <w:noProof/>
        </w:rPr>
      </w:pPr>
    </w:p>
    <w:p w:rsidR="00636B25" w:rsidRDefault="00257C0C" w:rsidP="007547DE">
      <w:r>
        <w:rPr>
          <w:noProof/>
        </w:rPr>
        <w:drawing>
          <wp:inline distT="0" distB="0" distL="114300" distR="114300" wp14:anchorId="656D988F" wp14:editId="38829FC9">
            <wp:extent cx="6031230" cy="441000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C0C" w:rsidRPr="00F90956" w:rsidRDefault="00257C0C" w:rsidP="007547DE">
      <w:pPr>
        <w:rPr>
          <w:rFonts w:hint="eastAsia"/>
        </w:rPr>
      </w:pPr>
    </w:p>
    <w:sectPr w:rsidR="00257C0C" w:rsidRPr="00F90956" w:rsidSect="007547DE">
      <w:pgSz w:w="11906" w:h="16838"/>
      <w:pgMar w:top="1135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77D" w:rsidRDefault="0079377D" w:rsidP="008122E8">
      <w:r>
        <w:separator/>
      </w:r>
    </w:p>
  </w:endnote>
  <w:endnote w:type="continuationSeparator" w:id="0">
    <w:p w:rsidR="0079377D" w:rsidRDefault="0079377D" w:rsidP="0081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77D" w:rsidRDefault="0079377D" w:rsidP="008122E8">
      <w:r>
        <w:separator/>
      </w:r>
    </w:p>
  </w:footnote>
  <w:footnote w:type="continuationSeparator" w:id="0">
    <w:p w:rsidR="0079377D" w:rsidRDefault="0079377D" w:rsidP="00812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E2"/>
    <w:rsid w:val="0024366B"/>
    <w:rsid w:val="00257C0C"/>
    <w:rsid w:val="00296AE2"/>
    <w:rsid w:val="005B1E78"/>
    <w:rsid w:val="00636B25"/>
    <w:rsid w:val="007547DE"/>
    <w:rsid w:val="0079377D"/>
    <w:rsid w:val="008122E8"/>
    <w:rsid w:val="008B00C0"/>
    <w:rsid w:val="00E14187"/>
    <w:rsid w:val="00E276B9"/>
    <w:rsid w:val="00F90956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C3DFE"/>
  <w15:docId w15:val="{5B7A9F6E-06FF-4437-96AC-317022D2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6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1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22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22E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547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54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985B6-3CCD-4F10-A4B3-1172E086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2019-12-26T13:33:00Z</dcterms:created>
  <dcterms:modified xsi:type="dcterms:W3CDTF">2019-12-26T13:36:00Z</dcterms:modified>
</cp:coreProperties>
</file>