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eastAsia="PingFang SC"/>
          <w:b/>
          <w:color w:val="000000"/>
          <w:sz w:val="44"/>
        </w:rPr>
        <w:t>edunet（桐心成长）一次性交付合同</w:t>
      </w:r>
    </w:p>
    <w:p>
      <w:pPr>
        <w:spacing w:after="360"/>
        <w:jc w:val="center"/>
      </w:pPr>
      <w:r>
        <w:rPr>
          <w:rFonts w:ascii="Calibri" w:hAnsi="Calibri" w:eastAsia="PingFang SC"/>
          <w:b w:val="0"/>
          <w:color w:val="5A5A5A"/>
          <w:sz w:val="24"/>
        </w:rPr>
        <w:t>不含源码交付方案 | 模板文件，正式签署前请补充双方主体信息</w:t>
      </w:r>
    </w:p>
    <w:tbl>
      <w:tblPr>
        <w:tblStyle w:val="TableGrid"/>
        <w:tblW w:type="dxa" w:w="9360"/>
        <w:tblLook w:firstColumn="1" w:firstRow="1" w:lastColumn="0" w:lastRow="0" w:noHBand="0" w:noVBand="1" w:val="04A0"/>
        <w:tblLayout w:type="fixed"/>
      </w:tblPr>
      <w:tblGrid>
        <w:gridCol w:w="4680"/>
        <w:gridCol w:w="4680"/>
      </w:tblGrid>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甲方</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客户/教育机构：________________________</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乙方</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软件开发及交付方：________________________</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系统名称</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edunet（桐心成长）教育管理系统</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交付模式</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一次性交付可用版本，不包含源代码</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合同版本</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V1.0</w:t>
            </w:r>
          </w:p>
        </w:tc>
      </w:tr>
    </w:tbl>
    <w:p/>
    <w:tbl>
      <w:tblPr>
        <w:tblStyle w:val="TableGrid"/>
        <w:tblW w:type="dxa" w:w="9360"/>
        <w:tblLook w:firstColumn="1" w:firstRow="1" w:lastColumn="0" w:lastRow="0" w:noHBand="0" w:noVBand="1" w:val="04A0"/>
        <w:tblLayout w:type="fixed"/>
      </w:tblPr>
      <w:tblGrid>
        <w:gridCol w:w="9360"/>
      </w:tblGrid>
      <w:tr>
        <w:tc>
          <w:tcPr>
            <w:tcW w:type="dxa" w:w="9360"/>
            <w:shd w:fill="F4F6F9"/>
            <w:tcMar>
              <w:top w:w="120" w:type="dxa"/>
              <w:start w:w="160" w:type="dxa"/>
              <w:bottom w:w="120" w:type="dxa"/>
              <w:end w:w="160" w:type="dxa"/>
            </w:tcMar>
          </w:tcPr>
          <w:p>
            <w:r>
              <w:rPr>
                <w:rFonts w:ascii="Calibri" w:hAnsi="Calibri" w:eastAsia="PingFang SC"/>
                <w:b w:val="0"/>
                <w:color w:val="000000"/>
                <w:sz w:val="21"/>
              </w:rPr>
              <w:t>说明：本合同为一次性交付商务模板，适用于乙方向甲方交付现有可用版本并协助部署上线的场景。本方案不包含源码所有权、源码交付、长期运维或无限制功能新增。正式签署前建议由双方补充付款节点、税务、适用法律及数据合规条款。</w:t>
            </w:r>
          </w:p>
        </w:tc>
      </w:tr>
    </w:tbl>
    <w:p/>
    <w:p>
      <w:pPr>
        <w:spacing w:before="320" w:after="160" w:line="264" w:lineRule="auto"/>
      </w:pPr>
      <w:r>
        <w:rPr>
          <w:rFonts w:ascii="Calibri" w:hAnsi="Calibri" w:eastAsia="PingFang SC"/>
          <w:b/>
          <w:color w:val="2E74B5"/>
          <w:sz w:val="32"/>
        </w:rPr>
        <w:t>一、合同主体</w:t>
      </w:r>
    </w:p>
    <w:p>
      <w:pPr>
        <w:spacing w:before="240" w:after="120" w:line="264" w:lineRule="auto"/>
      </w:pPr>
      <w:r>
        <w:rPr>
          <w:rFonts w:ascii="Calibri" w:hAnsi="Calibri" w:eastAsia="PingFang SC"/>
          <w:b/>
          <w:color w:val="2E74B5"/>
          <w:sz w:val="26"/>
        </w:rPr>
        <w:t>1，甲方身份</w:t>
      </w:r>
    </w:p>
    <w:p>
      <w:pPr>
        <w:spacing w:after="80"/>
        <w:ind w:left="259" w:hanging="259"/>
      </w:pPr>
      <w:r>
        <w:rPr>
          <w:rFonts w:ascii="Calibri" w:hAnsi="Calibri" w:eastAsia="PingFang SC"/>
          <w:b w:val="0"/>
          <w:color w:val="000000"/>
          <w:sz w:val="22"/>
        </w:rPr>
        <w:t>· 甲方为购买 edunet（桐心成长）系统部署交付服务的客户或教育机构。</w:t>
      </w:r>
    </w:p>
    <w:p>
      <w:pPr>
        <w:spacing w:after="80"/>
        <w:ind w:left="259" w:hanging="259"/>
      </w:pPr>
      <w:r>
        <w:rPr>
          <w:rFonts w:ascii="Calibri" w:hAnsi="Calibri" w:eastAsia="PingFang SC"/>
          <w:b w:val="0"/>
          <w:color w:val="000000"/>
          <w:sz w:val="22"/>
        </w:rPr>
        <w:t>· 甲方负责提供系统部署、微信小程序上线、业务配置及验收所需的真实、完整资料。</w:t>
      </w:r>
    </w:p>
    <w:p>
      <w:pPr>
        <w:spacing w:before="240" w:after="120" w:line="264" w:lineRule="auto"/>
      </w:pPr>
      <w:r>
        <w:rPr>
          <w:rFonts w:ascii="Calibri" w:hAnsi="Calibri" w:eastAsia="PingFang SC"/>
          <w:b/>
          <w:color w:val="2E74B5"/>
          <w:sz w:val="26"/>
        </w:rPr>
        <w:t>2，乙方身份</w:t>
      </w:r>
    </w:p>
    <w:p>
      <w:pPr>
        <w:spacing w:after="80"/>
        <w:ind w:left="259" w:hanging="259"/>
      </w:pPr>
      <w:r>
        <w:rPr>
          <w:rFonts w:ascii="Calibri" w:hAnsi="Calibri" w:eastAsia="PingFang SC"/>
          <w:b w:val="0"/>
          <w:color w:val="000000"/>
          <w:sz w:val="22"/>
        </w:rPr>
        <w:t>· 乙方为软件开发及交付方，负责按本合同约定交付现有可用版本，并提供部署、配置、上线协助、基础培训及一年维护服务。</w:t>
      </w:r>
    </w:p>
    <w:p>
      <w:pPr>
        <w:spacing w:before="320" w:after="160" w:line="264" w:lineRule="auto"/>
      </w:pPr>
      <w:r>
        <w:rPr>
          <w:rFonts w:ascii="Calibri" w:hAnsi="Calibri" w:eastAsia="PingFang SC"/>
          <w:b/>
          <w:color w:val="2E74B5"/>
          <w:sz w:val="32"/>
        </w:rPr>
        <w:t>二、交付内容</w:t>
      </w:r>
    </w:p>
    <w:p>
      <w:pPr>
        <w:spacing w:before="240" w:after="120" w:line="264" w:lineRule="auto"/>
      </w:pPr>
      <w:r>
        <w:rPr>
          <w:rFonts w:ascii="Calibri" w:hAnsi="Calibri" w:eastAsia="PingFang SC"/>
          <w:b/>
          <w:color w:val="2E74B5"/>
          <w:sz w:val="26"/>
        </w:rPr>
        <w:t>1，系统范围</w:t>
      </w:r>
    </w:p>
    <w:p>
      <w:pPr>
        <w:spacing w:after="80"/>
        <w:ind w:left="259" w:hanging="259"/>
      </w:pPr>
      <w:r>
        <w:rPr>
          <w:rFonts w:ascii="Calibri" w:hAnsi="Calibri" w:eastAsia="PingFang SC"/>
          <w:b w:val="0"/>
          <w:color w:val="000000"/>
          <w:sz w:val="22"/>
        </w:rPr>
        <w:t>· 交付系统为 edunet（桐心成长）现有可用版本，交付入口为微信小程序，背后包含后端 API 服务、数据库系统、权限管理、学习报告、微信通知及 AI 辅助能力等系统功能。</w:t>
      </w:r>
    </w:p>
    <w:p>
      <w:pPr>
        <w:spacing w:after="80"/>
        <w:ind w:left="259" w:hanging="259"/>
      </w:pPr>
      <w:r>
        <w:rPr>
          <w:rFonts w:ascii="Calibri" w:hAnsi="Calibri" w:eastAsia="PingFang SC"/>
          <w:b w:val="0"/>
          <w:color w:val="000000"/>
          <w:sz w:val="22"/>
        </w:rPr>
        <w:t>· 系统功能包括但不限于学生档案、学科与课题管理、每日学习记录、周反馈、考试与试卷、阶段性报告、年度报告、家长查看、教师录入、管理员审核发布、微信通知、AI 辅助生成学习总结及数据导出。</w:t>
      </w:r>
    </w:p>
    <w:p>
      <w:pPr>
        <w:spacing w:before="240" w:after="120" w:line="264" w:lineRule="auto"/>
      </w:pPr>
      <w:r>
        <w:rPr>
          <w:rFonts w:ascii="Calibri" w:hAnsi="Calibri" w:eastAsia="PingFang SC"/>
          <w:b/>
          <w:color w:val="2E74B5"/>
          <w:sz w:val="26"/>
        </w:rPr>
        <w:t>2，具体交付事项</w:t>
      </w:r>
    </w:p>
    <w:p>
      <w:pPr>
        <w:spacing w:after="80"/>
        <w:ind w:left="259" w:hanging="259"/>
      </w:pPr>
      <w:r>
        <w:rPr>
          <w:rFonts w:ascii="Calibri" w:hAnsi="Calibri" w:eastAsia="PingFang SC"/>
          <w:b w:val="0"/>
          <w:color w:val="000000"/>
          <w:sz w:val="22"/>
        </w:rPr>
        <w:t>· 现有 edunet 系统部署。</w:t>
      </w:r>
    </w:p>
    <w:p>
      <w:pPr>
        <w:spacing w:after="80"/>
        <w:ind w:left="259" w:hanging="259"/>
      </w:pPr>
      <w:r>
        <w:rPr>
          <w:rFonts w:ascii="Calibri" w:hAnsi="Calibri" w:eastAsia="PingFang SC"/>
          <w:b w:val="0"/>
          <w:color w:val="000000"/>
          <w:sz w:val="22"/>
        </w:rPr>
        <w:t>· 微信小程序配置及发布协助。</w:t>
      </w:r>
    </w:p>
    <w:p>
      <w:pPr>
        <w:spacing w:after="80"/>
        <w:ind w:left="259" w:hanging="259"/>
      </w:pPr>
      <w:r>
        <w:rPr>
          <w:rFonts w:ascii="Calibri" w:hAnsi="Calibri" w:eastAsia="PingFang SC"/>
          <w:b w:val="0"/>
          <w:color w:val="000000"/>
          <w:sz w:val="22"/>
        </w:rPr>
        <w:t>· 后端 API 服务部署。</w:t>
      </w:r>
    </w:p>
    <w:p>
      <w:pPr>
        <w:spacing w:after="80"/>
        <w:ind w:left="259" w:hanging="259"/>
      </w:pPr>
      <w:r>
        <w:rPr>
          <w:rFonts w:ascii="Calibri" w:hAnsi="Calibri" w:eastAsia="PingFang SC"/>
          <w:b w:val="0"/>
          <w:color w:val="000000"/>
          <w:sz w:val="22"/>
        </w:rPr>
        <w:t>· 数据库初始化。</w:t>
      </w:r>
    </w:p>
    <w:p>
      <w:pPr>
        <w:spacing w:after="80"/>
        <w:ind w:left="259" w:hanging="259"/>
      </w:pPr>
      <w:r>
        <w:rPr>
          <w:rFonts w:ascii="Calibri" w:hAnsi="Calibri" w:eastAsia="PingFang SC"/>
          <w:b w:val="0"/>
          <w:color w:val="000000"/>
          <w:sz w:val="22"/>
        </w:rPr>
        <w:t>· 甲方管理员账号配置。</w:t>
      </w:r>
    </w:p>
    <w:p>
      <w:pPr>
        <w:spacing w:after="80"/>
        <w:ind w:left="259" w:hanging="259"/>
      </w:pPr>
      <w:r>
        <w:rPr>
          <w:rFonts w:ascii="Calibri" w:hAnsi="Calibri" w:eastAsia="PingFang SC"/>
          <w:b w:val="0"/>
          <w:color w:val="000000"/>
          <w:sz w:val="22"/>
        </w:rPr>
        <w:t>· 基础培训。</w:t>
      </w:r>
    </w:p>
    <w:p>
      <w:pPr>
        <w:spacing w:after="80"/>
        <w:ind w:left="259" w:hanging="259"/>
      </w:pPr>
      <w:r>
        <w:rPr>
          <w:rFonts w:ascii="Calibri" w:hAnsi="Calibri" w:eastAsia="PingFang SC"/>
          <w:b w:val="0"/>
          <w:color w:val="000000"/>
          <w:sz w:val="22"/>
        </w:rPr>
        <w:t>· 一年维护服务，包括漏洞修复和小修改。</w:t>
      </w:r>
    </w:p>
    <w:p>
      <w:pPr>
        <w:spacing w:before="240" w:after="120" w:line="264" w:lineRule="auto"/>
      </w:pPr>
      <w:r>
        <w:rPr>
          <w:rFonts w:ascii="Calibri" w:hAnsi="Calibri" w:eastAsia="PingFang SC"/>
          <w:b/>
          <w:color w:val="2E74B5"/>
          <w:sz w:val="26"/>
        </w:rPr>
        <w:t>3，不包含事项</w:t>
      </w:r>
    </w:p>
    <w:p>
      <w:pPr>
        <w:spacing w:after="80"/>
        <w:ind w:left="259" w:hanging="259"/>
      </w:pPr>
      <w:r>
        <w:rPr>
          <w:rFonts w:ascii="Calibri" w:hAnsi="Calibri" w:eastAsia="PingFang SC"/>
          <w:b w:val="0"/>
          <w:color w:val="000000"/>
          <w:sz w:val="22"/>
        </w:rPr>
        <w:t>· 本合同不包含源代码交付、源码所有权转让、系统知识产权转让或独家买断。</w:t>
      </w:r>
    </w:p>
    <w:p>
      <w:pPr>
        <w:spacing w:after="80"/>
        <w:ind w:left="259" w:hanging="259"/>
      </w:pPr>
      <w:r>
        <w:rPr>
          <w:rFonts w:ascii="Calibri" w:hAnsi="Calibri" w:eastAsia="PingFang SC"/>
          <w:b w:val="0"/>
          <w:color w:val="000000"/>
          <w:sz w:val="22"/>
        </w:rPr>
        <w:t>· 本合同不包含新增功能、复杂修改、长期运维、第三方服务费用、AI API 费用、数据库费用、服务器费用、域名费用、微信认证费用、数据录入或法律顾问服务。</w:t>
      </w:r>
    </w:p>
    <w:p>
      <w:pPr>
        <w:spacing w:after="80"/>
        <w:ind w:left="259" w:hanging="259"/>
      </w:pPr>
      <w:r>
        <w:rPr>
          <w:rFonts w:ascii="Calibri" w:hAnsi="Calibri" w:eastAsia="PingFang SC"/>
          <w:b w:val="0"/>
          <w:color w:val="000000"/>
          <w:sz w:val="22"/>
        </w:rPr>
        <w:t>· 甲方如需新增功能、复杂流程修改、大规模页面重构、专属部署架构或源码使用权，双方应另行签署补充协议并另行报价。</w:t>
      </w:r>
    </w:p>
    <w:p>
      <w:pPr>
        <w:spacing w:before="320" w:after="160" w:line="264" w:lineRule="auto"/>
      </w:pPr>
      <w:r>
        <w:rPr>
          <w:rFonts w:ascii="Calibri" w:hAnsi="Calibri" w:eastAsia="PingFang SC"/>
          <w:b/>
          <w:color w:val="2E74B5"/>
          <w:sz w:val="32"/>
        </w:rPr>
        <w:t>三、费用及付款</w:t>
      </w:r>
    </w:p>
    <w:p>
      <w:pPr>
        <w:spacing w:before="240" w:after="120" w:line="264" w:lineRule="auto"/>
      </w:pPr>
      <w:r>
        <w:rPr>
          <w:rFonts w:ascii="Calibri" w:hAnsi="Calibri" w:eastAsia="PingFang SC"/>
          <w:b/>
          <w:color w:val="2E74B5"/>
          <w:sz w:val="26"/>
        </w:rPr>
        <w:t>1，一次性交付费用</w:t>
      </w:r>
    </w:p>
    <w:p>
      <w:pPr>
        <w:spacing w:after="80"/>
        <w:ind w:left="259" w:hanging="259"/>
      </w:pPr>
      <w:r>
        <w:rPr>
          <w:rFonts w:ascii="Calibri" w:hAnsi="Calibri" w:eastAsia="PingFang SC"/>
          <w:b w:val="0"/>
          <w:color w:val="000000"/>
          <w:sz w:val="22"/>
        </w:rPr>
        <w:t>· 本合同一次性交付费用为 SGD 18,800。</w:t>
      </w:r>
    </w:p>
    <w:p>
      <w:pPr>
        <w:spacing w:after="80"/>
        <w:ind w:left="259" w:hanging="259"/>
      </w:pPr>
      <w:r>
        <w:rPr>
          <w:rFonts w:ascii="Calibri" w:hAnsi="Calibri" w:eastAsia="PingFang SC"/>
          <w:b w:val="0"/>
          <w:color w:val="000000"/>
          <w:sz w:val="22"/>
        </w:rPr>
        <w:t>· 该费用对应现有系统部署、配置、上线协助、基础培训及一年维护服务，不包含本合同明确排除的费用。</w:t>
      </w:r>
    </w:p>
    <w:p>
      <w:pPr>
        <w:spacing w:before="240" w:after="120" w:line="264" w:lineRule="auto"/>
      </w:pPr>
      <w:r>
        <w:rPr>
          <w:rFonts w:ascii="Calibri" w:hAnsi="Calibri" w:eastAsia="PingFang SC"/>
          <w:b/>
          <w:color w:val="2E74B5"/>
          <w:sz w:val="26"/>
        </w:rPr>
        <w:t>2，后续维护费用</w:t>
      </w:r>
    </w:p>
    <w:p>
      <w:pPr>
        <w:spacing w:after="80"/>
        <w:ind w:left="259" w:hanging="259"/>
      </w:pPr>
      <w:r>
        <w:rPr>
          <w:rFonts w:ascii="Calibri" w:hAnsi="Calibri" w:eastAsia="PingFang SC"/>
          <w:b w:val="0"/>
          <w:color w:val="000000"/>
          <w:sz w:val="22"/>
        </w:rPr>
        <w:t>· 首年维护服务包含在一次性交付费用内。</w:t>
      </w:r>
    </w:p>
    <w:p>
      <w:pPr>
        <w:spacing w:after="80"/>
        <w:ind w:left="259" w:hanging="259"/>
      </w:pPr>
      <w:r>
        <w:rPr>
          <w:rFonts w:ascii="Calibri" w:hAnsi="Calibri" w:eastAsia="PingFang SC"/>
          <w:b w:val="0"/>
          <w:color w:val="000000"/>
          <w:sz w:val="22"/>
        </w:rPr>
        <w:t>· 首年后如甲方继续需要维护服务，维护费为 SGD 600/年。</w:t>
      </w:r>
    </w:p>
    <w:p>
      <w:pPr>
        <w:spacing w:after="80"/>
        <w:ind w:left="259" w:hanging="259"/>
      </w:pPr>
      <w:r>
        <w:rPr>
          <w:rFonts w:ascii="Calibri" w:hAnsi="Calibri" w:eastAsia="PingFang SC"/>
          <w:b w:val="0"/>
          <w:color w:val="000000"/>
          <w:sz w:val="22"/>
        </w:rPr>
        <w:t>· 后续维护范围包括漏洞修复、小范围文案或配置调整、常规技术支持，不包含新增功能或复杂修改。</w:t>
      </w:r>
    </w:p>
    <w:p>
      <w:pPr>
        <w:spacing w:before="240" w:after="120" w:line="264" w:lineRule="auto"/>
      </w:pPr>
      <w:r>
        <w:rPr>
          <w:rFonts w:ascii="Calibri" w:hAnsi="Calibri" w:eastAsia="PingFang SC"/>
          <w:b/>
          <w:color w:val="2E74B5"/>
          <w:sz w:val="26"/>
        </w:rPr>
        <w:t>3，新增需求费用</w:t>
      </w:r>
    </w:p>
    <w:p>
      <w:pPr>
        <w:spacing w:after="80"/>
        <w:ind w:left="259" w:hanging="259"/>
      </w:pPr>
      <w:r>
        <w:rPr>
          <w:rFonts w:ascii="Calibri" w:hAnsi="Calibri" w:eastAsia="PingFang SC"/>
          <w:b w:val="0"/>
          <w:color w:val="000000"/>
          <w:sz w:val="22"/>
        </w:rPr>
        <w:t>· 甲方提出新增功能、复杂修改、接口新增、数据库结构调整、特殊报表、定制化流程或其他超出交付范围的需求时，由乙方另行评估并报价。</w:t>
      </w:r>
    </w:p>
    <w:p>
      <w:pPr>
        <w:spacing w:after="80"/>
        <w:ind w:left="259" w:hanging="259"/>
      </w:pPr>
      <w:r>
        <w:rPr>
          <w:rFonts w:ascii="Calibri" w:hAnsi="Calibri" w:eastAsia="PingFang SC"/>
          <w:b w:val="0"/>
          <w:color w:val="000000"/>
          <w:sz w:val="22"/>
        </w:rPr>
        <w:t>· 未经双方书面确认的新增需求，不属于乙方必须交付的范围。</w:t>
      </w:r>
    </w:p>
    <w:p>
      <w:pPr>
        <w:spacing w:before="240" w:after="120" w:line="264" w:lineRule="auto"/>
      </w:pPr>
      <w:r>
        <w:rPr>
          <w:rFonts w:ascii="Calibri" w:hAnsi="Calibri" w:eastAsia="PingFang SC"/>
          <w:b/>
          <w:color w:val="2E74B5"/>
          <w:sz w:val="26"/>
        </w:rPr>
        <w:t>4，第三方费用</w:t>
      </w:r>
    </w:p>
    <w:p>
      <w:pPr>
        <w:spacing w:after="80"/>
        <w:ind w:left="259" w:hanging="259"/>
      </w:pPr>
      <w:r>
        <w:rPr>
          <w:rFonts w:ascii="Calibri" w:hAnsi="Calibri" w:eastAsia="PingFang SC"/>
          <w:b w:val="0"/>
          <w:color w:val="000000"/>
          <w:sz w:val="22"/>
        </w:rPr>
        <w:t>· 数据库、AI API、服务器、域名、微信小程序认证、短信、云服务、支付通道或其他第三方费用由甲方承担。</w:t>
      </w:r>
    </w:p>
    <w:p>
      <w:pPr>
        <w:spacing w:after="80"/>
        <w:ind w:left="259" w:hanging="259"/>
      </w:pPr>
      <w:r>
        <w:rPr>
          <w:rFonts w:ascii="Calibri" w:hAnsi="Calibri" w:eastAsia="PingFang SC"/>
          <w:b w:val="0"/>
          <w:color w:val="000000"/>
          <w:sz w:val="22"/>
        </w:rPr>
        <w:t>· 上述费用可由甲方自行向第三方平台支付，也可由乙方代为处理后向甲方实报实销，具体方式由双方另行确认。</w:t>
      </w:r>
    </w:p>
    <w:p>
      <w:pPr>
        <w:spacing w:before="320" w:after="160" w:line="264" w:lineRule="auto"/>
      </w:pPr>
      <w:r>
        <w:rPr>
          <w:rFonts w:ascii="Calibri" w:hAnsi="Calibri" w:eastAsia="PingFang SC"/>
          <w:b/>
          <w:color w:val="2E74B5"/>
          <w:sz w:val="32"/>
        </w:rPr>
        <w:t>四、交付、验收及维护</w:t>
      </w:r>
    </w:p>
    <w:p>
      <w:pPr>
        <w:spacing w:before="240" w:after="120" w:line="264" w:lineRule="auto"/>
      </w:pPr>
      <w:r>
        <w:rPr>
          <w:rFonts w:ascii="Calibri" w:hAnsi="Calibri" w:eastAsia="PingFang SC"/>
          <w:b/>
          <w:color w:val="2E74B5"/>
          <w:sz w:val="26"/>
        </w:rPr>
        <w:t>1，交付条件</w:t>
      </w:r>
    </w:p>
    <w:p>
      <w:pPr>
        <w:spacing w:after="80"/>
        <w:ind w:left="259" w:hanging="259"/>
      </w:pPr>
      <w:r>
        <w:rPr>
          <w:rFonts w:ascii="Calibri" w:hAnsi="Calibri" w:eastAsia="PingFang SC"/>
          <w:b w:val="0"/>
          <w:color w:val="000000"/>
          <w:sz w:val="22"/>
        </w:rPr>
        <w:t>· 甲方应提供小程序主体资料、管理员信息、业务配置资料、服务器/域名/第三方账号资料及上线审核所需文件。</w:t>
      </w:r>
    </w:p>
    <w:p>
      <w:pPr>
        <w:spacing w:after="80"/>
        <w:ind w:left="259" w:hanging="259"/>
      </w:pPr>
      <w:r>
        <w:rPr>
          <w:rFonts w:ascii="Calibri" w:hAnsi="Calibri" w:eastAsia="PingFang SC"/>
          <w:b w:val="0"/>
          <w:color w:val="000000"/>
          <w:sz w:val="22"/>
        </w:rPr>
        <w:t>· 因甲方资料不完整、第三方平台审核、微信平台规则、服务器或域名配置问题造成的延期，不视为乙方违约。</w:t>
      </w:r>
    </w:p>
    <w:p>
      <w:pPr>
        <w:spacing w:before="240" w:after="120" w:line="264" w:lineRule="auto"/>
      </w:pPr>
      <w:r>
        <w:rPr>
          <w:rFonts w:ascii="Calibri" w:hAnsi="Calibri" w:eastAsia="PingFang SC"/>
          <w:b/>
          <w:color w:val="2E74B5"/>
          <w:sz w:val="26"/>
        </w:rPr>
        <w:t>2，验收方式</w:t>
      </w:r>
    </w:p>
    <w:p>
      <w:pPr>
        <w:spacing w:after="80"/>
        <w:ind w:left="259" w:hanging="259"/>
      </w:pPr>
      <w:r>
        <w:rPr>
          <w:rFonts w:ascii="Calibri" w:hAnsi="Calibri" w:eastAsia="PingFang SC"/>
          <w:b w:val="0"/>
          <w:color w:val="000000"/>
          <w:sz w:val="22"/>
        </w:rPr>
        <w:t>· 乙方完成系统部署、核心功能可访问、管理员账号可登录、小程序可进入测试或上线流程后，视为达到基本交付条件。</w:t>
      </w:r>
    </w:p>
    <w:p>
      <w:pPr>
        <w:spacing w:after="80"/>
        <w:ind w:left="259" w:hanging="259"/>
      </w:pPr>
      <w:r>
        <w:rPr>
          <w:rFonts w:ascii="Calibri" w:hAnsi="Calibri" w:eastAsia="PingFang SC"/>
          <w:b w:val="0"/>
          <w:color w:val="000000"/>
          <w:sz w:val="22"/>
        </w:rPr>
        <w:t>· 甲方应在乙方通知验收后七个工作日内完成验收并反馈问题；逾期未反馈的，视为验收通过。</w:t>
      </w:r>
    </w:p>
    <w:p>
      <w:pPr>
        <w:spacing w:before="240" w:after="120" w:line="264" w:lineRule="auto"/>
      </w:pPr>
      <w:r>
        <w:rPr>
          <w:rFonts w:ascii="Calibri" w:hAnsi="Calibri" w:eastAsia="PingFang SC"/>
          <w:b/>
          <w:color w:val="2E74B5"/>
          <w:sz w:val="26"/>
        </w:rPr>
        <w:t>3，维护期</w:t>
      </w:r>
    </w:p>
    <w:p>
      <w:pPr>
        <w:spacing w:after="80"/>
        <w:ind w:left="259" w:hanging="259"/>
      </w:pPr>
      <w:r>
        <w:rPr>
          <w:rFonts w:ascii="Calibri" w:hAnsi="Calibri" w:eastAsia="PingFang SC"/>
          <w:b w:val="0"/>
          <w:color w:val="000000"/>
          <w:sz w:val="22"/>
        </w:rPr>
        <w:t>· 自验收通过或视为验收通过之日起，乙方提供一年维护服务。</w:t>
      </w:r>
    </w:p>
    <w:p>
      <w:pPr>
        <w:spacing w:after="80"/>
        <w:ind w:left="259" w:hanging="259"/>
      </w:pPr>
      <w:r>
        <w:rPr>
          <w:rFonts w:ascii="Calibri" w:hAnsi="Calibri" w:eastAsia="PingFang SC"/>
          <w:b w:val="0"/>
          <w:color w:val="000000"/>
          <w:sz w:val="22"/>
        </w:rPr>
        <w:t>· 维护期内，乙方负责修复系统自身漏洞和明显功能错误，并提供约定范围内的小修改。</w:t>
      </w:r>
    </w:p>
    <w:p>
      <w:pPr>
        <w:spacing w:after="80"/>
        <w:ind w:left="259" w:hanging="259"/>
      </w:pPr>
      <w:r>
        <w:rPr>
          <w:rFonts w:ascii="Calibri" w:hAnsi="Calibri" w:eastAsia="PingFang SC"/>
          <w:b w:val="0"/>
          <w:color w:val="000000"/>
          <w:sz w:val="22"/>
        </w:rPr>
        <w:t>· 维护期不包含新功能开发、复杂定制、第三方平台规则变化导致的大规模改造或甲方误操作造成的数据修复。</w:t>
      </w:r>
    </w:p>
    <w:p>
      <w:pPr>
        <w:spacing w:before="320" w:after="160" w:line="264" w:lineRule="auto"/>
      </w:pPr>
      <w:r>
        <w:rPr>
          <w:rFonts w:ascii="Calibri" w:hAnsi="Calibri" w:eastAsia="PingFang SC"/>
          <w:b/>
          <w:color w:val="2E74B5"/>
          <w:sz w:val="32"/>
        </w:rPr>
        <w:t>五、知识产权及源码约定</w:t>
      </w:r>
    </w:p>
    <w:p>
      <w:pPr>
        <w:spacing w:before="240" w:after="120" w:line="264" w:lineRule="auto"/>
      </w:pPr>
      <w:r>
        <w:rPr>
          <w:rFonts w:ascii="Calibri" w:hAnsi="Calibri" w:eastAsia="PingFang SC"/>
          <w:b/>
          <w:color w:val="2E74B5"/>
          <w:sz w:val="26"/>
        </w:rPr>
        <w:t>1，知识产权归属</w:t>
      </w:r>
    </w:p>
    <w:p>
      <w:pPr>
        <w:spacing w:after="80"/>
        <w:ind w:left="259" w:hanging="259"/>
      </w:pPr>
      <w:r>
        <w:rPr>
          <w:rFonts w:ascii="Calibri" w:hAnsi="Calibri" w:eastAsia="PingFang SC"/>
          <w:b w:val="0"/>
          <w:color w:val="000000"/>
          <w:sz w:val="22"/>
        </w:rPr>
        <w:t>· edunet（桐心成长）系统源代码、底层架构、通用模块、产品设计、技术方案及可复用经验归乙方所有。</w:t>
      </w:r>
    </w:p>
    <w:p>
      <w:pPr>
        <w:spacing w:after="80"/>
        <w:ind w:left="259" w:hanging="259"/>
      </w:pPr>
      <w:r>
        <w:rPr>
          <w:rFonts w:ascii="Calibri" w:hAnsi="Calibri" w:eastAsia="PingFang SC"/>
          <w:b w:val="0"/>
          <w:color w:val="000000"/>
          <w:sz w:val="22"/>
        </w:rPr>
        <w:t>· 本合同为一次性交付可用版本，不构成源码出售、知识产权转让或独家授权。</w:t>
      </w:r>
    </w:p>
    <w:p>
      <w:pPr>
        <w:spacing w:before="240" w:after="120" w:line="264" w:lineRule="auto"/>
      </w:pPr>
      <w:r>
        <w:rPr>
          <w:rFonts w:ascii="Calibri" w:hAnsi="Calibri" w:eastAsia="PingFang SC"/>
          <w:b/>
          <w:color w:val="2E74B5"/>
          <w:sz w:val="26"/>
        </w:rPr>
        <w:t>2，甲方使用权</w:t>
      </w:r>
    </w:p>
    <w:p>
      <w:pPr>
        <w:spacing w:after="80"/>
        <w:ind w:left="259" w:hanging="259"/>
      </w:pPr>
      <w:r>
        <w:rPr>
          <w:rFonts w:ascii="Calibri" w:hAnsi="Calibri" w:eastAsia="PingFang SC"/>
          <w:b w:val="0"/>
          <w:color w:val="000000"/>
          <w:sz w:val="22"/>
        </w:rPr>
        <w:t>· 甲方取得在自身业务范围内使用已交付系统的权利。</w:t>
      </w:r>
    </w:p>
    <w:p>
      <w:pPr>
        <w:spacing w:after="80"/>
        <w:ind w:left="259" w:hanging="259"/>
      </w:pPr>
      <w:r>
        <w:rPr>
          <w:rFonts w:ascii="Calibri" w:hAnsi="Calibri" w:eastAsia="PingFang SC"/>
          <w:b w:val="0"/>
          <w:color w:val="000000"/>
          <w:sz w:val="22"/>
        </w:rPr>
        <w:t>· 甲方不得复制、反编译、转售、转授权、出租、出借系统，或将系统用于第三方商业项目。</w:t>
      </w:r>
    </w:p>
    <w:p>
      <w:pPr>
        <w:spacing w:before="240" w:after="120" w:line="264" w:lineRule="auto"/>
      </w:pPr>
      <w:r>
        <w:rPr>
          <w:rFonts w:ascii="Calibri" w:hAnsi="Calibri" w:eastAsia="PingFang SC"/>
          <w:b/>
          <w:color w:val="2E74B5"/>
          <w:sz w:val="26"/>
        </w:rPr>
        <w:t>3，源码排除</w:t>
      </w:r>
    </w:p>
    <w:p>
      <w:pPr>
        <w:spacing w:after="80"/>
        <w:ind w:left="259" w:hanging="259"/>
      </w:pPr>
      <w:r>
        <w:rPr>
          <w:rFonts w:ascii="Calibri" w:hAnsi="Calibri" w:eastAsia="PingFang SC"/>
          <w:b w:val="0"/>
          <w:color w:val="000000"/>
          <w:sz w:val="22"/>
        </w:rPr>
        <w:t>· 除非双方另行签署源码使用权协议并支付相应费用，乙方无需向甲方交付源代码、数据库迁移脚本以外的内部开发资料、底层组件、开发环境或商业化经验文档。</w:t>
      </w:r>
    </w:p>
    <w:p>
      <w:pPr>
        <w:spacing w:before="320" w:after="160" w:line="264" w:lineRule="auto"/>
      </w:pPr>
      <w:r>
        <w:rPr>
          <w:rFonts w:ascii="Calibri" w:hAnsi="Calibri" w:eastAsia="PingFang SC"/>
          <w:b/>
          <w:color w:val="2E74B5"/>
          <w:sz w:val="32"/>
        </w:rPr>
        <w:t>六、数据、账号及安全</w:t>
      </w:r>
    </w:p>
    <w:p>
      <w:pPr>
        <w:spacing w:before="240" w:after="120" w:line="264" w:lineRule="auto"/>
      </w:pPr>
      <w:r>
        <w:rPr>
          <w:rFonts w:ascii="Calibri" w:hAnsi="Calibri" w:eastAsia="PingFang SC"/>
          <w:b/>
          <w:color w:val="2E74B5"/>
          <w:sz w:val="26"/>
        </w:rPr>
        <w:t>1，数据归属</w:t>
      </w:r>
    </w:p>
    <w:p>
      <w:pPr>
        <w:spacing w:after="80"/>
        <w:ind w:left="259" w:hanging="259"/>
      </w:pPr>
      <w:r>
        <w:rPr>
          <w:rFonts w:ascii="Calibri" w:hAnsi="Calibri" w:eastAsia="PingFang SC"/>
          <w:b w:val="0"/>
          <w:color w:val="000000"/>
          <w:sz w:val="22"/>
        </w:rPr>
        <w:t>· 甲方在系统中录入或产生的学生、家长、学习记录、报告等业务数据归甲方或其合法权利人所有。</w:t>
      </w:r>
    </w:p>
    <w:p>
      <w:pPr>
        <w:spacing w:after="80"/>
        <w:ind w:left="259" w:hanging="259"/>
      </w:pPr>
      <w:r>
        <w:rPr>
          <w:rFonts w:ascii="Calibri" w:hAnsi="Calibri" w:eastAsia="PingFang SC"/>
          <w:b w:val="0"/>
          <w:color w:val="000000"/>
          <w:sz w:val="22"/>
        </w:rPr>
        <w:t>· 乙方仅在部署、维护、备份、问题排查和技术支持所需范围内处理相关数据。</w:t>
      </w:r>
    </w:p>
    <w:p>
      <w:pPr>
        <w:spacing w:before="240" w:after="120" w:line="264" w:lineRule="auto"/>
      </w:pPr>
      <w:r>
        <w:rPr>
          <w:rFonts w:ascii="Calibri" w:hAnsi="Calibri" w:eastAsia="PingFang SC"/>
          <w:b/>
          <w:color w:val="2E74B5"/>
          <w:sz w:val="26"/>
        </w:rPr>
        <w:t>2，账号安全</w:t>
      </w:r>
    </w:p>
    <w:p>
      <w:pPr>
        <w:spacing w:after="80"/>
        <w:ind w:left="259" w:hanging="259"/>
      </w:pPr>
      <w:r>
        <w:rPr>
          <w:rFonts w:ascii="Calibri" w:hAnsi="Calibri" w:eastAsia="PingFang SC"/>
          <w:b w:val="0"/>
          <w:color w:val="000000"/>
          <w:sz w:val="22"/>
        </w:rPr>
        <w:t>· 甲方应妥善管理系统管理员账号、微信小程序账号、服务器账号、域名账号及第三方 API 密钥。</w:t>
      </w:r>
    </w:p>
    <w:p>
      <w:pPr>
        <w:spacing w:after="80"/>
        <w:ind w:left="259" w:hanging="259"/>
      </w:pPr>
      <w:r>
        <w:rPr>
          <w:rFonts w:ascii="Calibri" w:hAnsi="Calibri" w:eastAsia="PingFang SC"/>
          <w:b w:val="0"/>
          <w:color w:val="000000"/>
          <w:sz w:val="22"/>
        </w:rPr>
        <w:t>· 因甲方账号泄露、权限误配或人员误操作造成的损失，由甲方自行承担；乙方可协助修复，但可能另行收取费用。</w:t>
      </w:r>
    </w:p>
    <w:p>
      <w:pPr>
        <w:spacing w:before="320" w:after="160" w:line="264" w:lineRule="auto"/>
      </w:pPr>
      <w:r>
        <w:rPr>
          <w:rFonts w:ascii="Calibri" w:hAnsi="Calibri" w:eastAsia="PingFang SC"/>
          <w:b/>
          <w:color w:val="2E74B5"/>
          <w:sz w:val="32"/>
        </w:rPr>
        <w:t>七、责任限制</w:t>
      </w:r>
    </w:p>
    <w:p>
      <w:pPr>
        <w:spacing w:before="240" w:after="120" w:line="264" w:lineRule="auto"/>
      </w:pPr>
      <w:r>
        <w:rPr>
          <w:rFonts w:ascii="Calibri" w:hAnsi="Calibri" w:eastAsia="PingFang SC"/>
          <w:b/>
          <w:color w:val="2E74B5"/>
          <w:sz w:val="26"/>
        </w:rPr>
        <w:t>1，第三方服务</w:t>
      </w:r>
    </w:p>
    <w:p>
      <w:pPr>
        <w:spacing w:after="80"/>
        <w:ind w:left="259" w:hanging="259"/>
      </w:pPr>
      <w:r>
        <w:rPr>
          <w:rFonts w:ascii="Calibri" w:hAnsi="Calibri" w:eastAsia="PingFang SC"/>
          <w:b w:val="0"/>
          <w:color w:val="000000"/>
          <w:sz w:val="22"/>
        </w:rPr>
        <w:t>· 因微信平台、AI API、云服务器、数据库服务商、域名服务商、网络运营商或其他第三方平台故障、规则调整、审核失败导致的问题，不视为乙方违约。</w:t>
      </w:r>
    </w:p>
    <w:p>
      <w:pPr>
        <w:spacing w:before="240" w:after="120" w:line="264" w:lineRule="auto"/>
      </w:pPr>
      <w:r>
        <w:rPr>
          <w:rFonts w:ascii="Calibri" w:hAnsi="Calibri" w:eastAsia="PingFang SC"/>
          <w:b/>
          <w:color w:val="2E74B5"/>
          <w:sz w:val="26"/>
        </w:rPr>
        <w:t>2，责任上限</w:t>
      </w:r>
    </w:p>
    <w:p>
      <w:pPr>
        <w:spacing w:after="80"/>
        <w:ind w:left="259" w:hanging="259"/>
      </w:pPr>
      <w:r>
        <w:rPr>
          <w:rFonts w:ascii="Calibri" w:hAnsi="Calibri" w:eastAsia="PingFang SC"/>
          <w:b w:val="0"/>
          <w:color w:val="000000"/>
          <w:sz w:val="22"/>
        </w:rPr>
        <w:t>· 乙方不对甲方间接损失、预期收益损失、业务中断损失、数据录入错误或第三方索赔承担责任。</w:t>
      </w:r>
    </w:p>
    <w:p>
      <w:pPr>
        <w:spacing w:after="80"/>
        <w:ind w:left="259" w:hanging="259"/>
      </w:pPr>
      <w:r>
        <w:rPr>
          <w:rFonts w:ascii="Calibri" w:hAnsi="Calibri" w:eastAsia="PingFang SC"/>
          <w:b w:val="0"/>
          <w:color w:val="000000"/>
          <w:sz w:val="22"/>
        </w:rPr>
        <w:t>· 除双方另有书面约定外，乙方在本合同项下的赔偿责任总额以甲方已支付的一次性交付费用为上限。</w:t>
      </w:r>
    </w:p>
    <w:p>
      <w:pPr>
        <w:spacing w:before="320" w:after="160" w:line="264" w:lineRule="auto"/>
      </w:pPr>
      <w:r>
        <w:rPr>
          <w:rFonts w:ascii="Calibri" w:hAnsi="Calibri" w:eastAsia="PingFang SC"/>
          <w:b/>
          <w:color w:val="2E74B5"/>
          <w:sz w:val="32"/>
        </w:rPr>
        <w:t>八、其他约定</w:t>
      </w:r>
    </w:p>
    <w:p>
      <w:pPr>
        <w:spacing w:before="240" w:after="120" w:line="264" w:lineRule="auto"/>
      </w:pPr>
      <w:r>
        <w:rPr>
          <w:rFonts w:ascii="Calibri" w:hAnsi="Calibri" w:eastAsia="PingFang SC"/>
          <w:b/>
          <w:color w:val="2E74B5"/>
          <w:sz w:val="26"/>
        </w:rPr>
        <w:t>1，补充协议</w:t>
      </w:r>
    </w:p>
    <w:p>
      <w:pPr>
        <w:spacing w:after="80"/>
        <w:ind w:left="259" w:hanging="259"/>
      </w:pPr>
      <w:r>
        <w:rPr>
          <w:rFonts w:ascii="Calibri" w:hAnsi="Calibri" w:eastAsia="PingFang SC"/>
          <w:b w:val="0"/>
          <w:color w:val="000000"/>
          <w:sz w:val="22"/>
        </w:rPr>
        <w:t>· 本合同未尽事项，由双方另行签署补充协议或以书面形式确认。补充协议与本合同具有同等效力。</w:t>
      </w:r>
    </w:p>
    <w:p>
      <w:pPr>
        <w:spacing w:before="240" w:after="120" w:line="264" w:lineRule="auto"/>
      </w:pPr>
      <w:r>
        <w:rPr>
          <w:rFonts w:ascii="Calibri" w:hAnsi="Calibri" w:eastAsia="PingFang SC"/>
          <w:b/>
          <w:color w:val="2E74B5"/>
          <w:sz w:val="26"/>
        </w:rPr>
        <w:t>2，争议解决</w:t>
      </w:r>
    </w:p>
    <w:p>
      <w:pPr>
        <w:spacing w:after="80"/>
        <w:ind w:left="259" w:hanging="259"/>
      </w:pPr>
      <w:r>
        <w:rPr>
          <w:rFonts w:ascii="Calibri" w:hAnsi="Calibri" w:eastAsia="PingFang SC"/>
          <w:b w:val="0"/>
          <w:color w:val="000000"/>
          <w:sz w:val="22"/>
        </w:rPr>
        <w:t>· 因本合同产生的争议，双方应先友好协商解决；协商不成的，适用法律和争议解决地点由双方在正式签署时补充确认。</w:t>
      </w:r>
    </w:p>
    <w:p>
      <w:pPr>
        <w:spacing w:before="240" w:after="120" w:line="264" w:lineRule="auto"/>
      </w:pPr>
      <w:r>
        <w:rPr>
          <w:rFonts w:ascii="Calibri" w:hAnsi="Calibri" w:eastAsia="PingFang SC"/>
          <w:b/>
          <w:color w:val="2E74B5"/>
          <w:sz w:val="26"/>
        </w:rPr>
        <w:t>3，合同生效</w:t>
      </w:r>
    </w:p>
    <w:p>
      <w:pPr>
        <w:spacing w:after="80"/>
        <w:ind w:left="259" w:hanging="259"/>
      </w:pPr>
      <w:r>
        <w:rPr>
          <w:rFonts w:ascii="Calibri" w:hAnsi="Calibri" w:eastAsia="PingFang SC"/>
          <w:b w:val="0"/>
          <w:color w:val="000000"/>
          <w:sz w:val="22"/>
        </w:rPr>
        <w:t>· 本合同经双方授权代表签字或盖章后生效，可采用纸质签署或双方认可的电子签署方式。</w:t>
      </w:r>
    </w:p>
    <w:p/>
    <w:tbl>
      <w:tblPr>
        <w:tblStyle w:val="TableGrid"/>
        <w:tblW w:type="dxa" w:w="9360"/>
        <w:tblLook w:firstColumn="1" w:firstRow="1" w:lastColumn="0" w:lastRow="0" w:noHBand="0" w:noVBand="1" w:val="04A0"/>
        <w:tblLayout w:type="fixed"/>
      </w:tblPr>
      <w:tblGrid>
        <w:gridCol w:w="4680"/>
        <w:gridCol w:w="4680"/>
      </w:tblGrid>
      <w:tr>
        <w:tc>
          <w:tcPr>
            <w:tcW w:type="dxa" w:w="4680"/>
            <w:tcMar>
              <w:top w:w="160" w:type="dxa"/>
              <w:start w:w="160" w:type="dxa"/>
              <w:bottom w:w="160" w:type="dxa"/>
              <w:end w:w="160" w:type="dxa"/>
            </w:tcMar>
            <w:vAlign w:val="center"/>
          </w:tcPr>
          <w:p>
            <w:r>
              <w:rPr>
                <w:rFonts w:ascii="Calibri" w:hAnsi="Calibri" w:eastAsia="PingFang SC"/>
                <w:b w:val="0"/>
                <w:color w:val="000000"/>
                <w:sz w:val="21"/>
              </w:rPr>
              <w:t>甲方（签字/盖章）：</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乙方（签字/盖章）：</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授权代表：</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授权代表：</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联系电话：</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联系电话：</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签署日期：</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签署日期：</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地址/邮箱：</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地址/邮箱：</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b w:val="0"/>
        <w:color w:val="5A5A5A"/>
        <w:sz w:val="18"/>
      </w:rPr>
      <w:t xml:space="preserve">第 </w:t>
    </w:r>
    <w:r>
      <w:fldChar w:fldCharType="begin"/>
      <w:instrText xml:space="preserve">PAGE</w:instrText>
      <w:fldChar w:fldCharType="end"/>
    </w:r>
    <w:r>
      <w:rPr>
        <w:rFonts w:ascii="Calibri" w:hAnsi="Calibri" w:eastAsia="PingFang SC"/>
        <w:b w:val="0"/>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PingFang SC"/>
        <w:b w:val="0"/>
        <w:color w:val="5A5A5A"/>
        <w:sz w:val="18"/>
      </w:rPr>
      <w:t>edunet（桐心成长）合同模板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PingFang SC" w:hAnsi="PingFang SC"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