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eastAsia="PingFang SC"/>
          <w:b/>
          <w:color w:val="000000"/>
          <w:sz w:val="44"/>
        </w:rPr>
        <w:t>edunet（桐心成长）订阅式服务合同</w:t>
      </w:r>
    </w:p>
    <w:p>
      <w:pPr>
        <w:spacing w:after="360"/>
        <w:jc w:val="center"/>
      </w:pPr>
      <w:r>
        <w:rPr>
          <w:rFonts w:ascii="Calibri" w:hAnsi="Calibri" w:eastAsia="PingFang SC"/>
          <w:b w:val="0"/>
          <w:color w:val="5A5A5A"/>
          <w:sz w:val="24"/>
        </w:rPr>
        <w:t>年付订阅服务方案 | 模板文件，正式签署前请补充双方主体信息</w:t>
      </w:r>
    </w:p>
    <w:tbl>
      <w:tblPr>
        <w:tblStyle w:val="TableGrid"/>
        <w:tblW w:type="dxa" w:w="9360"/>
        <w:tblLook w:firstColumn="1" w:firstRow="1" w:lastColumn="0" w:lastRow="0" w:noHBand="0" w:noVBand="1" w:val="04A0"/>
        <w:tblLayout w:type="fixed"/>
      </w:tblPr>
      <w:tblGrid>
        <w:gridCol w:w="4680"/>
        <w:gridCol w:w="4680"/>
      </w:tblGrid>
      <w:tr>
        <w:tc>
          <w:tcPr>
            <w:tcW w:type="dxa" w:w="1800"/>
            <w:vAlign w:val="center"/>
            <w:tcMar>
              <w:top w:w="80" w:type="dxa"/>
              <w:start w:w="120" w:type="dxa"/>
              <w:bottom w:w="80" w:type="dxa"/>
              <w:end w:w="120" w:type="dxa"/>
            </w:tcMar>
            <w:shd w:fill="F2F4F7"/>
          </w:tcPr>
          <w:p>
            <w:r/>
            <w:r>
              <w:rPr>
                <w:rFonts w:ascii="Calibri" w:hAnsi="Calibri" w:eastAsia="PingFang SC"/>
                <w:b/>
                <w:color w:val="000000"/>
                <w:sz w:val="21"/>
              </w:rPr>
              <w:t>甲方</w:t>
            </w:r>
          </w:p>
        </w:tc>
        <w:tc>
          <w:tcPr>
            <w:tcW w:type="dxa" w:w="7560"/>
            <w:vAlign w:val="center"/>
            <w:tcMar>
              <w:top w:w="80" w:type="dxa"/>
              <w:start w:w="120" w:type="dxa"/>
              <w:bottom w:w="80" w:type="dxa"/>
              <w:end w:w="120" w:type="dxa"/>
            </w:tcMar>
          </w:tcPr>
          <w:p>
            <w:r/>
            <w:r>
              <w:rPr>
                <w:rFonts w:ascii="Calibri" w:hAnsi="Calibri" w:eastAsia="PingFang SC"/>
                <w:b w:val="0"/>
                <w:color w:val="000000"/>
                <w:sz w:val="21"/>
              </w:rPr>
              <w:t>客户/教育机构：________________________</w:t>
            </w:r>
          </w:p>
        </w:tc>
      </w:tr>
      <w:tr>
        <w:tc>
          <w:tcPr>
            <w:tcW w:type="dxa" w:w="1800"/>
            <w:vAlign w:val="center"/>
            <w:tcMar>
              <w:top w:w="80" w:type="dxa"/>
              <w:start w:w="120" w:type="dxa"/>
              <w:bottom w:w="80" w:type="dxa"/>
              <w:end w:w="120" w:type="dxa"/>
            </w:tcMar>
            <w:shd w:fill="F2F4F7"/>
          </w:tcPr>
          <w:p>
            <w:r/>
            <w:r>
              <w:rPr>
                <w:rFonts w:ascii="Calibri" w:hAnsi="Calibri" w:eastAsia="PingFang SC"/>
                <w:b/>
                <w:color w:val="000000"/>
                <w:sz w:val="21"/>
              </w:rPr>
              <w:t>乙方</w:t>
            </w:r>
          </w:p>
        </w:tc>
        <w:tc>
          <w:tcPr>
            <w:tcW w:type="dxa" w:w="7560"/>
            <w:vAlign w:val="center"/>
            <w:tcMar>
              <w:top w:w="80" w:type="dxa"/>
              <w:start w:w="120" w:type="dxa"/>
              <w:bottom w:w="80" w:type="dxa"/>
              <w:end w:w="120" w:type="dxa"/>
            </w:tcMar>
          </w:tcPr>
          <w:p>
            <w:r/>
            <w:r>
              <w:rPr>
                <w:rFonts w:ascii="Calibri" w:hAnsi="Calibri" w:eastAsia="PingFang SC"/>
                <w:b w:val="0"/>
                <w:color w:val="000000"/>
                <w:sz w:val="21"/>
              </w:rPr>
              <w:t>系统服务提供方/开发者：________________________</w:t>
            </w:r>
          </w:p>
        </w:tc>
      </w:tr>
      <w:tr>
        <w:tc>
          <w:tcPr>
            <w:tcW w:type="dxa" w:w="1800"/>
            <w:vAlign w:val="center"/>
            <w:tcMar>
              <w:top w:w="80" w:type="dxa"/>
              <w:start w:w="120" w:type="dxa"/>
              <w:bottom w:w="80" w:type="dxa"/>
              <w:end w:w="120" w:type="dxa"/>
            </w:tcMar>
            <w:shd w:fill="F2F4F7"/>
          </w:tcPr>
          <w:p>
            <w:r/>
            <w:r>
              <w:rPr>
                <w:rFonts w:ascii="Calibri" w:hAnsi="Calibri" w:eastAsia="PingFang SC"/>
                <w:b/>
                <w:color w:val="000000"/>
                <w:sz w:val="21"/>
              </w:rPr>
              <w:t>系统名称</w:t>
            </w:r>
          </w:p>
        </w:tc>
        <w:tc>
          <w:tcPr>
            <w:tcW w:type="dxa" w:w="7560"/>
            <w:vAlign w:val="center"/>
            <w:tcMar>
              <w:top w:w="80" w:type="dxa"/>
              <w:start w:w="120" w:type="dxa"/>
              <w:bottom w:w="80" w:type="dxa"/>
              <w:end w:w="120" w:type="dxa"/>
            </w:tcMar>
          </w:tcPr>
          <w:p>
            <w:r/>
            <w:r>
              <w:rPr>
                <w:rFonts w:ascii="Calibri" w:hAnsi="Calibri" w:eastAsia="PingFang SC"/>
                <w:b w:val="0"/>
                <w:color w:val="000000"/>
                <w:sz w:val="21"/>
              </w:rPr>
              <w:t>edunet（桐心成长）教育管理系统</w:t>
            </w:r>
          </w:p>
        </w:tc>
      </w:tr>
      <w:tr>
        <w:tc>
          <w:tcPr>
            <w:tcW w:type="dxa" w:w="1800"/>
            <w:vAlign w:val="center"/>
            <w:tcMar>
              <w:top w:w="80" w:type="dxa"/>
              <w:start w:w="120" w:type="dxa"/>
              <w:bottom w:w="80" w:type="dxa"/>
              <w:end w:w="120" w:type="dxa"/>
            </w:tcMar>
            <w:shd w:fill="F2F4F7"/>
          </w:tcPr>
          <w:p>
            <w:r/>
            <w:r>
              <w:rPr>
                <w:rFonts w:ascii="Calibri" w:hAnsi="Calibri" w:eastAsia="PingFang SC"/>
                <w:b/>
                <w:color w:val="000000"/>
                <w:sz w:val="21"/>
              </w:rPr>
              <w:t>服务模式</w:t>
            </w:r>
          </w:p>
        </w:tc>
        <w:tc>
          <w:tcPr>
            <w:tcW w:type="dxa" w:w="7560"/>
            <w:vAlign w:val="center"/>
            <w:tcMar>
              <w:top w:w="80" w:type="dxa"/>
              <w:start w:w="120" w:type="dxa"/>
              <w:bottom w:w="80" w:type="dxa"/>
              <w:end w:w="120" w:type="dxa"/>
            </w:tcMar>
          </w:tcPr>
          <w:p>
            <w:r/>
            <w:r>
              <w:rPr>
                <w:rFonts w:ascii="Calibri" w:hAnsi="Calibri" w:eastAsia="PingFang SC"/>
                <w:b w:val="0"/>
                <w:color w:val="000000"/>
                <w:sz w:val="21"/>
              </w:rPr>
              <w:t>订阅式服务，按年付费</w:t>
            </w:r>
          </w:p>
        </w:tc>
      </w:tr>
      <w:tr>
        <w:tc>
          <w:tcPr>
            <w:tcW w:type="dxa" w:w="1800"/>
            <w:vAlign w:val="center"/>
            <w:tcMar>
              <w:top w:w="80" w:type="dxa"/>
              <w:start w:w="120" w:type="dxa"/>
              <w:bottom w:w="80" w:type="dxa"/>
              <w:end w:w="120" w:type="dxa"/>
            </w:tcMar>
            <w:shd w:fill="F2F4F7"/>
          </w:tcPr>
          <w:p>
            <w:r/>
            <w:r>
              <w:rPr>
                <w:rFonts w:ascii="Calibri" w:hAnsi="Calibri" w:eastAsia="PingFang SC"/>
                <w:b/>
                <w:color w:val="000000"/>
                <w:sz w:val="21"/>
              </w:rPr>
              <w:t>合同版本</w:t>
            </w:r>
          </w:p>
        </w:tc>
        <w:tc>
          <w:tcPr>
            <w:tcW w:type="dxa" w:w="7560"/>
            <w:vAlign w:val="center"/>
            <w:tcMar>
              <w:top w:w="80" w:type="dxa"/>
              <w:start w:w="120" w:type="dxa"/>
              <w:bottom w:w="80" w:type="dxa"/>
              <w:end w:w="120" w:type="dxa"/>
            </w:tcMar>
          </w:tcPr>
          <w:p>
            <w:r/>
            <w:r>
              <w:rPr>
                <w:rFonts w:ascii="Calibri" w:hAnsi="Calibri" w:eastAsia="PingFang SC"/>
                <w:b w:val="0"/>
                <w:color w:val="000000"/>
                <w:sz w:val="21"/>
              </w:rPr>
              <w:t>V1.0</w:t>
            </w:r>
          </w:p>
        </w:tc>
      </w:tr>
    </w:tbl>
    <w:p/>
    <w:tbl>
      <w:tblPr>
        <w:tblStyle w:val="TableGrid"/>
        <w:tblW w:type="dxa" w:w="9360"/>
        <w:tblLook w:firstColumn="1" w:firstRow="1" w:lastColumn="0" w:lastRow="0" w:noHBand="0" w:noVBand="1" w:val="04A0"/>
        <w:tblLayout w:type="fixed"/>
      </w:tblPr>
      <w:tblGrid>
        <w:gridCol w:w="9360"/>
      </w:tblGrid>
      <w:tr>
        <w:tc>
          <w:tcPr>
            <w:tcW w:type="dxa" w:w="9360"/>
            <w:shd w:fill="F4F6F9"/>
            <w:tcMar>
              <w:top w:w="120" w:type="dxa"/>
              <w:start w:w="160" w:type="dxa"/>
              <w:bottom w:w="120" w:type="dxa"/>
              <w:end w:w="160" w:type="dxa"/>
            </w:tcMar>
          </w:tcPr>
          <w:p>
            <w:r>
              <w:rPr>
                <w:rFonts w:ascii="Calibri" w:hAnsi="Calibri" w:eastAsia="PingFang SC"/>
                <w:b w:val="0"/>
                <w:color w:val="000000"/>
                <w:sz w:val="21"/>
              </w:rPr>
              <w:t>说明：本合同为商务模板，用于明确订阅费用、服务范围、维护边界、第三方费用及双方权利义务。正式签署前，建议由双方根据实际主体、税务、支付方式、适用法律及数据合规要求进行确认。</w:t>
            </w:r>
          </w:p>
        </w:tc>
      </w:tr>
    </w:tbl>
    <w:p/>
    <w:p>
      <w:pPr>
        <w:spacing w:before="320" w:after="160" w:line="264" w:lineRule="auto"/>
      </w:pPr>
      <w:r>
        <w:rPr>
          <w:rFonts w:ascii="Calibri" w:hAnsi="Calibri" w:eastAsia="PingFang SC"/>
          <w:b/>
          <w:color w:val="2E74B5"/>
          <w:sz w:val="32"/>
        </w:rPr>
        <w:t>一、合同主体</w:t>
      </w:r>
    </w:p>
    <w:p>
      <w:pPr>
        <w:spacing w:before="240" w:after="120" w:line="264" w:lineRule="auto"/>
      </w:pPr>
      <w:r>
        <w:rPr>
          <w:rFonts w:ascii="Calibri" w:hAnsi="Calibri" w:eastAsia="PingFang SC"/>
          <w:b/>
          <w:color w:val="2E74B5"/>
          <w:sz w:val="26"/>
        </w:rPr>
        <w:t>1，甲方身份</w:t>
      </w:r>
    </w:p>
    <w:p>
      <w:pPr>
        <w:spacing w:after="80"/>
        <w:ind w:left="259" w:hanging="259"/>
      </w:pPr>
      <w:r>
        <w:rPr>
          <w:rFonts w:ascii="Calibri" w:hAnsi="Calibri" w:eastAsia="PingFang SC"/>
          <w:b w:val="0"/>
          <w:color w:val="000000"/>
          <w:sz w:val="22"/>
        </w:rPr>
        <w:t>· 甲方为购买并使用 edunet（桐心成长）教育管理系统服务的客户或教育机构。</w:t>
      </w:r>
    </w:p>
    <w:p>
      <w:pPr>
        <w:spacing w:after="80"/>
        <w:ind w:left="259" w:hanging="259"/>
      </w:pPr>
      <w:r>
        <w:rPr>
          <w:rFonts w:ascii="Calibri" w:hAnsi="Calibri" w:eastAsia="PingFang SC"/>
          <w:b w:val="0"/>
          <w:color w:val="000000"/>
          <w:sz w:val="22"/>
        </w:rPr>
        <w:t>· 甲方负责提供系统上线所需的真实业务资料、微信小程序相关账号资料、域名及第三方服务注册资料。</w:t>
      </w:r>
    </w:p>
    <w:p>
      <w:pPr>
        <w:spacing w:before="240" w:after="120" w:line="264" w:lineRule="auto"/>
      </w:pPr>
      <w:r>
        <w:rPr>
          <w:rFonts w:ascii="Calibri" w:hAnsi="Calibri" w:eastAsia="PingFang SC"/>
          <w:b/>
          <w:color w:val="2E74B5"/>
          <w:sz w:val="26"/>
        </w:rPr>
        <w:t>2，乙方身份</w:t>
      </w:r>
    </w:p>
    <w:p>
      <w:pPr>
        <w:spacing w:after="80"/>
        <w:ind w:left="259" w:hanging="259"/>
      </w:pPr>
      <w:r>
        <w:rPr>
          <w:rFonts w:ascii="Calibri" w:hAnsi="Calibri" w:eastAsia="PingFang SC"/>
          <w:b w:val="0"/>
          <w:color w:val="000000"/>
          <w:sz w:val="22"/>
        </w:rPr>
        <w:t>· 乙方为 edunet（桐心成长）系统服务提供方，负责提供系统部署、配置、维护、技术支持及约定范围内的功能服务。</w:t>
      </w:r>
    </w:p>
    <w:p>
      <w:pPr>
        <w:spacing w:after="80"/>
        <w:ind w:left="259" w:hanging="259"/>
      </w:pPr>
      <w:r>
        <w:rPr>
          <w:rFonts w:ascii="Calibri" w:hAnsi="Calibri" w:eastAsia="PingFang SC"/>
          <w:b w:val="0"/>
          <w:color w:val="000000"/>
          <w:sz w:val="22"/>
        </w:rPr>
        <w:t>· 乙方负责在合同约定范围内保障系统正常运行，并根据双方确认的服务范围处理问题修复和小范围调整。</w:t>
      </w:r>
    </w:p>
    <w:p>
      <w:pPr>
        <w:spacing w:before="320" w:after="160" w:line="264" w:lineRule="auto"/>
      </w:pPr>
      <w:r>
        <w:rPr>
          <w:rFonts w:ascii="Calibri" w:hAnsi="Calibri" w:eastAsia="PingFang SC"/>
          <w:b/>
          <w:color w:val="2E74B5"/>
          <w:sz w:val="32"/>
        </w:rPr>
        <w:t>二、系统及服务内容</w:t>
      </w:r>
    </w:p>
    <w:p>
      <w:pPr>
        <w:spacing w:before="240" w:after="120" w:line="264" w:lineRule="auto"/>
      </w:pPr>
      <w:r>
        <w:rPr>
          <w:rFonts w:ascii="Calibri" w:hAnsi="Calibri" w:eastAsia="PingFang SC"/>
          <w:b/>
          <w:color w:val="2E74B5"/>
          <w:sz w:val="26"/>
        </w:rPr>
        <w:t>1，系统范围</w:t>
      </w:r>
    </w:p>
    <w:p>
      <w:pPr>
        <w:spacing w:after="80"/>
        <w:ind w:left="259" w:hanging="259"/>
      </w:pPr>
      <w:r>
        <w:rPr>
          <w:rFonts w:ascii="Calibri" w:hAnsi="Calibri" w:eastAsia="PingFang SC"/>
          <w:b w:val="0"/>
          <w:color w:val="000000"/>
          <w:sz w:val="22"/>
        </w:rPr>
        <w:t>· edunet（桐心成长）为接近 SaaS 形态的教育管理系统，交付入口为微信小程序，但其功能依赖后端 API、数据库、权限体系、AI 接口、微信通知及服务器运行环境。</w:t>
      </w:r>
    </w:p>
    <w:p>
      <w:pPr>
        <w:spacing w:after="80"/>
        <w:ind w:left="259" w:hanging="259"/>
      </w:pPr>
      <w:r>
        <w:rPr>
          <w:rFonts w:ascii="Calibri" w:hAnsi="Calibri" w:eastAsia="PingFang SC"/>
          <w:b w:val="0"/>
          <w:color w:val="000000"/>
          <w:sz w:val="22"/>
        </w:rPr>
        <w:t>· 系统功能包括但不限于学生档案、学科与课题管理、每日学习记录、周反馈、考试与试卷、阶段性报告、年度报告、家长查看、教师录入、管理员审核发布、微信通知、AI 辅助生成学习总结及数据导出。</w:t>
      </w:r>
    </w:p>
    <w:p>
      <w:pPr>
        <w:spacing w:before="240" w:after="120" w:line="264" w:lineRule="auto"/>
      </w:pPr>
      <w:r>
        <w:rPr>
          <w:rFonts w:ascii="Calibri" w:hAnsi="Calibri" w:eastAsia="PingFang SC"/>
          <w:b/>
          <w:color w:val="2E74B5"/>
          <w:sz w:val="26"/>
        </w:rPr>
        <w:t>2，订阅服务范围</w:t>
      </w:r>
    </w:p>
    <w:p>
      <w:pPr>
        <w:spacing w:after="80"/>
        <w:ind w:left="259" w:hanging="259"/>
      </w:pPr>
      <w:r>
        <w:rPr>
          <w:rFonts w:ascii="Calibri" w:hAnsi="Calibri" w:eastAsia="PingFang SC"/>
          <w:b w:val="0"/>
          <w:color w:val="000000"/>
          <w:sz w:val="22"/>
        </w:rPr>
        <w:t>· 乙方提供现有系统的使用授权、部署配置、基础上线协助、系统维护、漏洞修复、小范围文字或配置调整、基础技术支持。</w:t>
      </w:r>
    </w:p>
    <w:p>
      <w:pPr>
        <w:spacing w:after="80"/>
        <w:ind w:left="259" w:hanging="259"/>
      </w:pPr>
      <w:r>
        <w:rPr>
          <w:rFonts w:ascii="Calibri" w:hAnsi="Calibri" w:eastAsia="PingFang SC"/>
          <w:b w:val="0"/>
          <w:color w:val="000000"/>
          <w:sz w:val="22"/>
        </w:rPr>
        <w:t>· 乙方提供第一年一次免费大修改或新增功能机会，具体修改范围、交付时间和验收方式应由双方另行书面确认。</w:t>
      </w:r>
    </w:p>
    <w:p>
      <w:pPr>
        <w:spacing w:after="80"/>
        <w:ind w:left="259" w:hanging="259"/>
      </w:pPr>
      <w:r>
        <w:rPr>
          <w:rFonts w:ascii="Calibri" w:hAnsi="Calibri" w:eastAsia="PingFang SC"/>
          <w:b w:val="0"/>
          <w:color w:val="000000"/>
          <w:sz w:val="22"/>
        </w:rPr>
        <w:t>· 第一年的维护服务包含漏洞修复和小修改；后续年度维护服务按本合同费用条款执行。</w:t>
      </w:r>
    </w:p>
    <w:p>
      <w:pPr>
        <w:spacing w:before="240" w:after="120" w:line="264" w:lineRule="auto"/>
      </w:pPr>
      <w:r>
        <w:rPr>
          <w:rFonts w:ascii="Calibri" w:hAnsi="Calibri" w:eastAsia="PingFang SC"/>
          <w:b/>
          <w:color w:val="2E74B5"/>
          <w:sz w:val="26"/>
        </w:rPr>
        <w:t>3，服务边界</w:t>
      </w:r>
    </w:p>
    <w:p>
      <w:pPr>
        <w:spacing w:after="80"/>
        <w:ind w:left="259" w:hanging="259"/>
      </w:pPr>
      <w:r>
        <w:rPr>
          <w:rFonts w:ascii="Calibri" w:hAnsi="Calibri" w:eastAsia="PingFang SC"/>
          <w:b w:val="0"/>
          <w:color w:val="000000"/>
          <w:sz w:val="22"/>
        </w:rPr>
        <w:t>· 本合同项下订阅服务不包含无限制功能新增、复杂业务流程重做、大规模 UI 重构、客户数据录入、法律顾问服务、第三方平台认证失败导致的额外工作。</w:t>
      </w:r>
    </w:p>
    <w:p>
      <w:pPr>
        <w:spacing w:after="80"/>
        <w:ind w:left="259" w:hanging="259"/>
      </w:pPr>
      <w:r>
        <w:rPr>
          <w:rFonts w:ascii="Calibri" w:hAnsi="Calibri" w:eastAsia="PingFang SC"/>
          <w:b w:val="0"/>
          <w:color w:val="000000"/>
          <w:sz w:val="22"/>
        </w:rPr>
        <w:t>· 若甲方提出超出订阅范围的新需求，乙方有权根据需求复杂度、开发周期、测试成本和第三方接口成本另行报价。</w:t>
      </w:r>
    </w:p>
    <w:p>
      <w:pPr>
        <w:spacing w:before="320" w:after="160" w:line="264" w:lineRule="auto"/>
      </w:pPr>
      <w:r>
        <w:rPr>
          <w:rFonts w:ascii="Calibri" w:hAnsi="Calibri" w:eastAsia="PingFang SC"/>
          <w:b/>
          <w:color w:val="2E74B5"/>
          <w:sz w:val="32"/>
        </w:rPr>
        <w:t>三、费用及付款</w:t>
      </w:r>
    </w:p>
    <w:p>
      <w:pPr>
        <w:spacing w:before="240" w:after="120" w:line="264" w:lineRule="auto"/>
      </w:pPr>
      <w:r>
        <w:rPr>
          <w:rFonts w:ascii="Calibri" w:hAnsi="Calibri" w:eastAsia="PingFang SC"/>
          <w:b/>
          <w:color w:val="2E74B5"/>
          <w:sz w:val="26"/>
        </w:rPr>
        <w:t>1，订阅年费</w:t>
      </w:r>
    </w:p>
    <w:p>
      <w:pPr>
        <w:spacing w:after="80"/>
        <w:ind w:left="259" w:hanging="259"/>
      </w:pPr>
      <w:r>
        <w:rPr>
          <w:rFonts w:ascii="Calibri" w:hAnsi="Calibri" w:eastAsia="PingFang SC"/>
          <w:b w:val="0"/>
          <w:color w:val="000000"/>
          <w:sz w:val="22"/>
        </w:rPr>
        <w:t>· 第一年订阅费用：SGD 4,800。</w:t>
      </w:r>
    </w:p>
    <w:p>
      <w:pPr>
        <w:spacing w:after="80"/>
        <w:ind w:left="259" w:hanging="259"/>
      </w:pPr>
      <w:r>
        <w:rPr>
          <w:rFonts w:ascii="Calibri" w:hAnsi="Calibri" w:eastAsia="PingFang SC"/>
          <w:b w:val="0"/>
          <w:color w:val="000000"/>
          <w:sz w:val="22"/>
        </w:rPr>
        <w:t>· 第二年及之后每年订阅费用：SGD 3,200/年。</w:t>
      </w:r>
    </w:p>
    <w:p>
      <w:pPr>
        <w:spacing w:after="80"/>
        <w:ind w:left="259" w:hanging="259"/>
      </w:pPr>
      <w:r>
        <w:rPr>
          <w:rFonts w:ascii="Calibri" w:hAnsi="Calibri" w:eastAsia="PingFang SC"/>
          <w:b w:val="0"/>
          <w:color w:val="000000"/>
          <w:sz w:val="22"/>
        </w:rPr>
        <w:t>· 订阅费用用于系统使用授权、基础运行维护、常规技术支持及约定范围内的问题修复。</w:t>
      </w:r>
    </w:p>
    <w:p>
      <w:pPr>
        <w:spacing w:before="240" w:after="120" w:line="264" w:lineRule="auto"/>
      </w:pPr>
      <w:r>
        <w:rPr>
          <w:rFonts w:ascii="Calibri" w:hAnsi="Calibri" w:eastAsia="PingFang SC"/>
          <w:b/>
          <w:color w:val="2E74B5"/>
          <w:sz w:val="26"/>
        </w:rPr>
        <w:t>2，维护费用</w:t>
      </w:r>
    </w:p>
    <w:p>
      <w:pPr>
        <w:spacing w:after="80"/>
        <w:ind w:left="259" w:hanging="259"/>
      </w:pPr>
      <w:r>
        <w:rPr>
          <w:rFonts w:ascii="Calibri" w:hAnsi="Calibri" w:eastAsia="PingFang SC"/>
          <w:b w:val="0"/>
          <w:color w:val="000000"/>
          <w:sz w:val="22"/>
        </w:rPr>
        <w:t>· 第一年的维护服务包含在首年订阅费用内。</w:t>
      </w:r>
    </w:p>
    <w:p>
      <w:pPr>
        <w:spacing w:after="80"/>
        <w:ind w:left="259" w:hanging="259"/>
      </w:pPr>
      <w:r>
        <w:rPr>
          <w:rFonts w:ascii="Calibri" w:hAnsi="Calibri" w:eastAsia="PingFang SC"/>
          <w:b w:val="0"/>
          <w:color w:val="000000"/>
          <w:sz w:val="22"/>
        </w:rPr>
        <w:t>· 第二年及之后，如甲方继续需要漏洞修复、小修改和基础维护服务，维护费为 SGD 300/年。</w:t>
      </w:r>
    </w:p>
    <w:p>
      <w:pPr>
        <w:spacing w:after="80"/>
        <w:ind w:left="259" w:hanging="259"/>
      </w:pPr>
      <w:r>
        <w:rPr>
          <w:rFonts w:ascii="Calibri" w:hAnsi="Calibri" w:eastAsia="PingFang SC"/>
          <w:b w:val="0"/>
          <w:color w:val="000000"/>
          <w:sz w:val="22"/>
        </w:rPr>
        <w:t>· 维护范围包括漏洞修复、小范围配置调整、小范围文案调整、常规技术支持，不包含新功能开发或复杂业务修改。</w:t>
      </w:r>
    </w:p>
    <w:p>
      <w:pPr>
        <w:spacing w:before="240" w:after="120" w:line="264" w:lineRule="auto"/>
      </w:pPr>
      <w:r>
        <w:rPr>
          <w:rFonts w:ascii="Calibri" w:hAnsi="Calibri" w:eastAsia="PingFang SC"/>
          <w:b/>
          <w:color w:val="2E74B5"/>
          <w:sz w:val="26"/>
        </w:rPr>
        <w:t>3，大修改及新增功能费用</w:t>
      </w:r>
    </w:p>
    <w:p>
      <w:pPr>
        <w:spacing w:after="80"/>
        <w:ind w:left="259" w:hanging="259"/>
      </w:pPr>
      <w:r>
        <w:rPr>
          <w:rFonts w:ascii="Calibri" w:hAnsi="Calibri" w:eastAsia="PingFang SC"/>
          <w:b w:val="0"/>
          <w:color w:val="000000"/>
          <w:sz w:val="22"/>
        </w:rPr>
        <w:t>· 第一年度包含一次免费大修改或新增功能机会。该免费机会仅限一次，具体范围需双方书面确认。</w:t>
      </w:r>
    </w:p>
    <w:p>
      <w:pPr>
        <w:spacing w:after="80"/>
        <w:ind w:left="259" w:hanging="259"/>
      </w:pPr>
      <w:r>
        <w:rPr>
          <w:rFonts w:ascii="Calibri" w:hAnsi="Calibri" w:eastAsia="PingFang SC"/>
          <w:b w:val="0"/>
          <w:color w:val="000000"/>
          <w:sz w:val="22"/>
        </w:rPr>
        <w:t>· 第二年及之后，大修改或新增功能按照具体需求另行报价，报价依据包括功能复杂度、页面数量、后端逻辑、数据库调整、测试和上线工作量。</w:t>
      </w:r>
    </w:p>
    <w:p>
      <w:pPr>
        <w:spacing w:before="240" w:after="120" w:line="264" w:lineRule="auto"/>
      </w:pPr>
      <w:r>
        <w:rPr>
          <w:rFonts w:ascii="Calibri" w:hAnsi="Calibri" w:eastAsia="PingFang SC"/>
          <w:b/>
          <w:color w:val="2E74B5"/>
          <w:sz w:val="26"/>
        </w:rPr>
        <w:t>4，第三方费用</w:t>
      </w:r>
    </w:p>
    <w:p>
      <w:pPr>
        <w:spacing w:after="80"/>
        <w:ind w:left="259" w:hanging="259"/>
      </w:pPr>
      <w:r>
        <w:rPr>
          <w:rFonts w:ascii="Calibri" w:hAnsi="Calibri" w:eastAsia="PingFang SC"/>
          <w:b w:val="0"/>
          <w:color w:val="000000"/>
          <w:sz w:val="22"/>
        </w:rPr>
        <w:t>· 数据库费用、AI API 费用按实际发生费用由甲方承担，可按月或按年结算。</w:t>
      </w:r>
    </w:p>
    <w:p>
      <w:pPr>
        <w:spacing w:after="80"/>
        <w:ind w:left="259" w:hanging="259"/>
      </w:pPr>
      <w:r>
        <w:rPr>
          <w:rFonts w:ascii="Calibri" w:hAnsi="Calibri" w:eastAsia="PingFang SC"/>
          <w:b w:val="0"/>
          <w:color w:val="000000"/>
          <w:sz w:val="22"/>
        </w:rPr>
        <w:t>· 服务器费用采用月包方式，由甲方承担；费用可能因用户数量、访问量、数据量、存储量或性能要求增加而变化。</w:t>
      </w:r>
    </w:p>
    <w:p>
      <w:pPr>
        <w:spacing w:after="80"/>
        <w:ind w:left="259" w:hanging="259"/>
      </w:pPr>
      <w:r>
        <w:rPr>
          <w:rFonts w:ascii="Calibri" w:hAnsi="Calibri" w:eastAsia="PingFang SC"/>
          <w:b w:val="0"/>
          <w:color w:val="000000"/>
          <w:sz w:val="22"/>
        </w:rPr>
        <w:t>· 域名费用按每年固定价格由甲方承担，具体价格以域名注册商或双方确认价格为准。</w:t>
      </w:r>
    </w:p>
    <w:p>
      <w:pPr>
        <w:spacing w:after="80"/>
        <w:ind w:left="259" w:hanging="259"/>
      </w:pPr>
      <w:r>
        <w:rPr>
          <w:rFonts w:ascii="Calibri" w:hAnsi="Calibri" w:eastAsia="PingFang SC"/>
          <w:b w:val="0"/>
          <w:color w:val="000000"/>
          <w:sz w:val="22"/>
        </w:rPr>
        <w:t>· 微信小程序认证费、短信费、云服务费、支付通道费、第三方接口费等不包含在订阅年费内，按实际发生费用另计。</w:t>
      </w:r>
    </w:p>
    <w:p>
      <w:pPr>
        <w:spacing w:before="320" w:after="160" w:line="264" w:lineRule="auto"/>
      </w:pPr>
      <w:r>
        <w:rPr>
          <w:rFonts w:ascii="Calibri" w:hAnsi="Calibri" w:eastAsia="PingFang SC"/>
          <w:b/>
          <w:color w:val="2E74B5"/>
          <w:sz w:val="32"/>
        </w:rPr>
        <w:t>四、上线、账号及数据</w:t>
      </w:r>
    </w:p>
    <w:p>
      <w:pPr>
        <w:spacing w:before="240" w:after="120" w:line="264" w:lineRule="auto"/>
      </w:pPr>
      <w:r>
        <w:rPr>
          <w:rFonts w:ascii="Calibri" w:hAnsi="Calibri" w:eastAsia="PingFang SC"/>
          <w:b/>
          <w:color w:val="2E74B5"/>
          <w:sz w:val="26"/>
        </w:rPr>
        <w:t>1，甲方配合事项</w:t>
      </w:r>
    </w:p>
    <w:p>
      <w:pPr>
        <w:spacing w:after="80"/>
        <w:ind w:left="259" w:hanging="259"/>
      </w:pPr>
      <w:r>
        <w:rPr>
          <w:rFonts w:ascii="Calibri" w:hAnsi="Calibri" w:eastAsia="PingFang SC"/>
          <w:b w:val="0"/>
          <w:color w:val="000000"/>
          <w:sz w:val="22"/>
        </w:rPr>
        <w:t>· 甲方应及时提供小程序主体资料、业务资料、管理员信息、品牌名称、课程/学生基础资料及上线审核所需材料。</w:t>
      </w:r>
    </w:p>
    <w:p>
      <w:pPr>
        <w:spacing w:after="80"/>
        <w:ind w:left="259" w:hanging="259"/>
      </w:pPr>
      <w:r>
        <w:rPr>
          <w:rFonts w:ascii="Calibri" w:hAnsi="Calibri" w:eastAsia="PingFang SC"/>
          <w:b w:val="0"/>
          <w:color w:val="000000"/>
          <w:sz w:val="22"/>
        </w:rPr>
        <w:t>· 因甲方资料延迟、不完整或第三方平台审核原因造成的上线延期，不视为乙方违约。</w:t>
      </w:r>
    </w:p>
    <w:p>
      <w:pPr>
        <w:spacing w:before="240" w:after="120" w:line="264" w:lineRule="auto"/>
      </w:pPr>
      <w:r>
        <w:rPr>
          <w:rFonts w:ascii="Calibri" w:hAnsi="Calibri" w:eastAsia="PingFang SC"/>
          <w:b/>
          <w:color w:val="2E74B5"/>
          <w:sz w:val="26"/>
        </w:rPr>
        <w:t>2，数据归属</w:t>
      </w:r>
    </w:p>
    <w:p>
      <w:pPr>
        <w:spacing w:after="80"/>
        <w:ind w:left="259" w:hanging="259"/>
      </w:pPr>
      <w:r>
        <w:rPr>
          <w:rFonts w:ascii="Calibri" w:hAnsi="Calibri" w:eastAsia="PingFang SC"/>
          <w:b w:val="0"/>
          <w:color w:val="000000"/>
          <w:sz w:val="22"/>
        </w:rPr>
        <w:t>· 甲方在系统中录入或产生的学生、家长、学习记录、报告等业务数据归甲方或其合法权利人所有。</w:t>
      </w:r>
    </w:p>
    <w:p>
      <w:pPr>
        <w:spacing w:after="80"/>
        <w:ind w:left="259" w:hanging="259"/>
      </w:pPr>
      <w:r>
        <w:rPr>
          <w:rFonts w:ascii="Calibri" w:hAnsi="Calibri" w:eastAsia="PingFang SC"/>
          <w:b w:val="0"/>
          <w:color w:val="000000"/>
          <w:sz w:val="22"/>
        </w:rPr>
        <w:t>· 乙方仅在提供系统运行、维护、备份、故障排查和技术支持所需范围内处理相关数据。</w:t>
      </w:r>
    </w:p>
    <w:p>
      <w:pPr>
        <w:spacing w:before="240" w:after="120" w:line="264" w:lineRule="auto"/>
      </w:pPr>
      <w:r>
        <w:rPr>
          <w:rFonts w:ascii="Calibri" w:hAnsi="Calibri" w:eastAsia="PingFang SC"/>
          <w:b/>
          <w:color w:val="2E74B5"/>
          <w:sz w:val="26"/>
        </w:rPr>
        <w:t>3，数据备份</w:t>
      </w:r>
    </w:p>
    <w:p>
      <w:pPr>
        <w:spacing w:after="80"/>
        <w:ind w:left="259" w:hanging="259"/>
      </w:pPr>
      <w:r>
        <w:rPr>
          <w:rFonts w:ascii="Calibri" w:hAnsi="Calibri" w:eastAsia="PingFang SC"/>
          <w:b w:val="0"/>
          <w:color w:val="000000"/>
          <w:sz w:val="22"/>
        </w:rPr>
        <w:t>· 乙方按系统运行需要提供基础数据备份安排。若甲方需要更高频率、更长周期或异地备份，应另行确认费用和方案。</w:t>
      </w:r>
    </w:p>
    <w:p>
      <w:pPr>
        <w:spacing w:before="320" w:after="160" w:line="264" w:lineRule="auto"/>
      </w:pPr>
      <w:r>
        <w:rPr>
          <w:rFonts w:ascii="Calibri" w:hAnsi="Calibri" w:eastAsia="PingFang SC"/>
          <w:b/>
          <w:color w:val="2E74B5"/>
          <w:sz w:val="32"/>
        </w:rPr>
        <w:t>五、知识产权及使用限制</w:t>
      </w:r>
    </w:p>
    <w:p>
      <w:pPr>
        <w:spacing w:before="240" w:after="120" w:line="264" w:lineRule="auto"/>
      </w:pPr>
      <w:r>
        <w:rPr>
          <w:rFonts w:ascii="Calibri" w:hAnsi="Calibri" w:eastAsia="PingFang SC"/>
          <w:b/>
          <w:color w:val="2E74B5"/>
          <w:sz w:val="26"/>
        </w:rPr>
        <w:t>1，系统知识产权</w:t>
      </w:r>
    </w:p>
    <w:p>
      <w:pPr>
        <w:spacing w:after="80"/>
        <w:ind w:left="259" w:hanging="259"/>
      </w:pPr>
      <w:r>
        <w:rPr>
          <w:rFonts w:ascii="Calibri" w:hAnsi="Calibri" w:eastAsia="PingFang SC"/>
          <w:b w:val="0"/>
          <w:color w:val="000000"/>
          <w:sz w:val="22"/>
        </w:rPr>
        <w:t>· edunet（桐心成长）系统源代码、底层架构、通用模块、产品设计、技术方案及可复用经验归乙方所有。</w:t>
      </w:r>
    </w:p>
    <w:p>
      <w:pPr>
        <w:spacing w:after="80"/>
        <w:ind w:left="259" w:hanging="259"/>
      </w:pPr>
      <w:r>
        <w:rPr>
          <w:rFonts w:ascii="Calibri" w:hAnsi="Calibri" w:eastAsia="PingFang SC"/>
          <w:b w:val="0"/>
          <w:color w:val="000000"/>
          <w:sz w:val="22"/>
        </w:rPr>
        <w:t>· 甲方取得合同期限内的系统使用权，不取得源码所有权、知识产权或对外转售权。</w:t>
      </w:r>
    </w:p>
    <w:p>
      <w:pPr>
        <w:spacing w:before="240" w:after="120" w:line="264" w:lineRule="auto"/>
      </w:pPr>
      <w:r>
        <w:rPr>
          <w:rFonts w:ascii="Calibri" w:hAnsi="Calibri" w:eastAsia="PingFang SC"/>
          <w:b/>
          <w:color w:val="2E74B5"/>
          <w:sz w:val="26"/>
        </w:rPr>
        <w:t>2，使用限制</w:t>
      </w:r>
    </w:p>
    <w:p>
      <w:pPr>
        <w:spacing w:after="80"/>
        <w:ind w:left="259" w:hanging="259"/>
      </w:pPr>
      <w:r>
        <w:rPr>
          <w:rFonts w:ascii="Calibri" w:hAnsi="Calibri" w:eastAsia="PingFang SC"/>
          <w:b w:val="0"/>
          <w:color w:val="000000"/>
          <w:sz w:val="22"/>
        </w:rPr>
        <w:t>· 甲方不得复制、反编译、转售、转授权、出租、出借系统或将系统用于第三方商业项目。</w:t>
      </w:r>
    </w:p>
    <w:p>
      <w:pPr>
        <w:spacing w:after="80"/>
        <w:ind w:left="259" w:hanging="259"/>
      </w:pPr>
      <w:r>
        <w:rPr>
          <w:rFonts w:ascii="Calibri" w:hAnsi="Calibri" w:eastAsia="PingFang SC"/>
          <w:b w:val="0"/>
          <w:color w:val="000000"/>
          <w:sz w:val="22"/>
        </w:rPr>
        <w:t>· 未经乙方书面同意，甲方不得将系统账号、后台权限或接口能力提供给与自身业务无关的第三方使用。</w:t>
      </w:r>
    </w:p>
    <w:p>
      <w:pPr>
        <w:spacing w:before="320" w:after="160" w:line="264" w:lineRule="auto"/>
      </w:pPr>
      <w:r>
        <w:rPr>
          <w:rFonts w:ascii="Calibri" w:hAnsi="Calibri" w:eastAsia="PingFang SC"/>
          <w:b/>
          <w:color w:val="2E74B5"/>
          <w:sz w:val="32"/>
        </w:rPr>
        <w:t>六、维护、响应及责任限制</w:t>
      </w:r>
    </w:p>
    <w:p>
      <w:pPr>
        <w:spacing w:before="240" w:after="120" w:line="264" w:lineRule="auto"/>
      </w:pPr>
      <w:r>
        <w:rPr>
          <w:rFonts w:ascii="Calibri" w:hAnsi="Calibri" w:eastAsia="PingFang SC"/>
          <w:b/>
          <w:color w:val="2E74B5"/>
          <w:sz w:val="26"/>
        </w:rPr>
        <w:t>1，维护内容</w:t>
      </w:r>
    </w:p>
    <w:p>
      <w:pPr>
        <w:spacing w:after="80"/>
        <w:ind w:left="259" w:hanging="259"/>
      </w:pPr>
      <w:r>
        <w:rPr>
          <w:rFonts w:ascii="Calibri" w:hAnsi="Calibri" w:eastAsia="PingFang SC"/>
          <w:b w:val="0"/>
          <w:color w:val="000000"/>
          <w:sz w:val="22"/>
        </w:rPr>
        <w:t>· 乙方负责处理系统漏洞、明显功能错误、常规小修改和正常运行所需的基础技术支持。</w:t>
      </w:r>
    </w:p>
    <w:p>
      <w:pPr>
        <w:spacing w:after="80"/>
        <w:ind w:left="259" w:hanging="259"/>
      </w:pPr>
      <w:r>
        <w:rPr>
          <w:rFonts w:ascii="Calibri" w:hAnsi="Calibri" w:eastAsia="PingFang SC"/>
          <w:b w:val="0"/>
          <w:color w:val="000000"/>
          <w:sz w:val="22"/>
        </w:rPr>
        <w:t>· 因微信平台规则变化、AI API 政策变化、云服务商故障、网络运营商故障、第三方接口调整或甲方误操作造成的问题，乙方可协助处理，但可能另行收取费用。</w:t>
      </w:r>
    </w:p>
    <w:p>
      <w:pPr>
        <w:spacing w:before="240" w:after="120" w:line="264" w:lineRule="auto"/>
      </w:pPr>
      <w:r>
        <w:rPr>
          <w:rFonts w:ascii="Calibri" w:hAnsi="Calibri" w:eastAsia="PingFang SC"/>
          <w:b/>
          <w:color w:val="2E74B5"/>
          <w:sz w:val="26"/>
        </w:rPr>
        <w:t>2，责任限制</w:t>
      </w:r>
    </w:p>
    <w:p>
      <w:pPr>
        <w:spacing w:after="80"/>
        <w:ind w:left="259" w:hanging="259"/>
      </w:pPr>
      <w:r>
        <w:rPr>
          <w:rFonts w:ascii="Calibri" w:hAnsi="Calibri" w:eastAsia="PingFang SC"/>
          <w:b w:val="0"/>
          <w:color w:val="000000"/>
          <w:sz w:val="22"/>
        </w:rPr>
        <w:t>· 乙方不对因甲方违法违规使用系统、资料不真实、账号管理不善、第三方平台限制、不可抗力或第三方服务故障导致的损失承担责任。</w:t>
      </w:r>
    </w:p>
    <w:p>
      <w:pPr>
        <w:spacing w:after="80"/>
        <w:ind w:left="259" w:hanging="259"/>
      </w:pPr>
      <w:r>
        <w:rPr>
          <w:rFonts w:ascii="Calibri" w:hAnsi="Calibri" w:eastAsia="PingFang SC"/>
          <w:b w:val="0"/>
          <w:color w:val="000000"/>
          <w:sz w:val="22"/>
        </w:rPr>
        <w:t>· 对于任何间接损失、预期收益损失、业务中断损失或第三方索赔，乙方责任以甲方已支付且对应当前服务年度的订阅费用为上限，双方另有书面约定除外。</w:t>
      </w:r>
    </w:p>
    <w:p>
      <w:pPr>
        <w:spacing w:before="320" w:after="160" w:line="264" w:lineRule="auto"/>
      </w:pPr>
      <w:r>
        <w:rPr>
          <w:rFonts w:ascii="Calibri" w:hAnsi="Calibri" w:eastAsia="PingFang SC"/>
          <w:b/>
          <w:color w:val="2E74B5"/>
          <w:sz w:val="32"/>
        </w:rPr>
        <w:t>七、合同期限、续费及终止</w:t>
      </w:r>
    </w:p>
    <w:p>
      <w:pPr>
        <w:spacing w:before="240" w:after="120" w:line="264" w:lineRule="auto"/>
      </w:pPr>
      <w:r>
        <w:rPr>
          <w:rFonts w:ascii="Calibri" w:hAnsi="Calibri" w:eastAsia="PingFang SC"/>
          <w:b/>
          <w:color w:val="2E74B5"/>
          <w:sz w:val="26"/>
        </w:rPr>
        <w:t>1，合同期限</w:t>
      </w:r>
    </w:p>
    <w:p>
      <w:pPr>
        <w:spacing w:after="80"/>
        <w:ind w:left="259" w:hanging="259"/>
      </w:pPr>
      <w:r>
        <w:rPr>
          <w:rFonts w:ascii="Calibri" w:hAnsi="Calibri" w:eastAsia="PingFang SC"/>
          <w:b w:val="0"/>
          <w:color w:val="000000"/>
          <w:sz w:val="22"/>
        </w:rPr>
        <w:t>· 本合同首个服务期限为一年，自双方确认上线或乙方完成可用部署之日起计算，具体日期以双方书面确认为准。</w:t>
      </w:r>
    </w:p>
    <w:p>
      <w:pPr>
        <w:spacing w:before="240" w:after="120" w:line="264" w:lineRule="auto"/>
      </w:pPr>
      <w:r>
        <w:rPr>
          <w:rFonts w:ascii="Calibri" w:hAnsi="Calibri" w:eastAsia="PingFang SC"/>
          <w:b/>
          <w:color w:val="2E74B5"/>
          <w:sz w:val="26"/>
        </w:rPr>
        <w:t>2，续费</w:t>
      </w:r>
    </w:p>
    <w:p>
      <w:pPr>
        <w:spacing w:after="80"/>
        <w:ind w:left="259" w:hanging="259"/>
      </w:pPr>
      <w:r>
        <w:rPr>
          <w:rFonts w:ascii="Calibri" w:hAnsi="Calibri" w:eastAsia="PingFang SC"/>
          <w:b w:val="0"/>
          <w:color w:val="000000"/>
          <w:sz w:val="22"/>
        </w:rPr>
        <w:t>· 甲方如需继续使用系统，应在服务期满前完成下一年度续费。未按期续费的，乙方有权暂停系统服务和维护支持。</w:t>
      </w:r>
    </w:p>
    <w:p>
      <w:pPr>
        <w:spacing w:before="240" w:after="120" w:line="264" w:lineRule="auto"/>
      </w:pPr>
      <w:r>
        <w:rPr>
          <w:rFonts w:ascii="Calibri" w:hAnsi="Calibri" w:eastAsia="PingFang SC"/>
          <w:b/>
          <w:color w:val="2E74B5"/>
          <w:sz w:val="26"/>
        </w:rPr>
        <w:t>3，终止</w:t>
      </w:r>
    </w:p>
    <w:p>
      <w:pPr>
        <w:spacing w:after="80"/>
        <w:ind w:left="259" w:hanging="259"/>
      </w:pPr>
      <w:r>
        <w:rPr>
          <w:rFonts w:ascii="Calibri" w:hAnsi="Calibri" w:eastAsia="PingFang SC"/>
          <w:b w:val="0"/>
          <w:color w:val="000000"/>
          <w:sz w:val="22"/>
        </w:rPr>
        <w:t>· 任何一方严重违反合同且在收到书面通知后仍未在合理期限内改正的，守约方有权终止合同。</w:t>
      </w:r>
    </w:p>
    <w:p>
      <w:pPr>
        <w:spacing w:after="80"/>
        <w:ind w:left="259" w:hanging="259"/>
      </w:pPr>
      <w:r>
        <w:rPr>
          <w:rFonts w:ascii="Calibri" w:hAnsi="Calibri" w:eastAsia="PingFang SC"/>
          <w:b w:val="0"/>
          <w:color w:val="000000"/>
          <w:sz w:val="22"/>
        </w:rPr>
        <w:t>· 合同终止后，甲方应停止使用系统；乙方可在合理期限内协助甲方导出其业务数据，具体工作量和费用由双方另行确认。</w:t>
      </w:r>
    </w:p>
    <w:p>
      <w:pPr>
        <w:spacing w:before="320" w:after="160" w:line="264" w:lineRule="auto"/>
      </w:pPr>
      <w:r>
        <w:rPr>
          <w:rFonts w:ascii="Calibri" w:hAnsi="Calibri" w:eastAsia="PingFang SC"/>
          <w:b/>
          <w:color w:val="2E74B5"/>
          <w:sz w:val="32"/>
        </w:rPr>
        <w:t>八、其他约定</w:t>
      </w:r>
    </w:p>
    <w:p>
      <w:pPr>
        <w:spacing w:before="240" w:after="120" w:line="264" w:lineRule="auto"/>
      </w:pPr>
      <w:r>
        <w:rPr>
          <w:rFonts w:ascii="Calibri" w:hAnsi="Calibri" w:eastAsia="PingFang SC"/>
          <w:b/>
          <w:color w:val="2E74B5"/>
          <w:sz w:val="26"/>
        </w:rPr>
        <w:t>1，正式条款确认</w:t>
      </w:r>
    </w:p>
    <w:p>
      <w:pPr>
        <w:spacing w:after="80"/>
        <w:ind w:left="259" w:hanging="259"/>
      </w:pPr>
      <w:r>
        <w:rPr>
          <w:rFonts w:ascii="Calibri" w:hAnsi="Calibri" w:eastAsia="PingFang SC"/>
          <w:b w:val="0"/>
          <w:color w:val="000000"/>
          <w:sz w:val="22"/>
        </w:rPr>
        <w:t>· 本合同未尽事项，由双方另行签署补充协议或以书面形式确认。补充协议与本合同具有同等效力。</w:t>
      </w:r>
    </w:p>
    <w:p>
      <w:pPr>
        <w:spacing w:before="240" w:after="120" w:line="264" w:lineRule="auto"/>
      </w:pPr>
      <w:r>
        <w:rPr>
          <w:rFonts w:ascii="Calibri" w:hAnsi="Calibri" w:eastAsia="PingFang SC"/>
          <w:b/>
          <w:color w:val="2E74B5"/>
          <w:sz w:val="26"/>
        </w:rPr>
        <w:t>2，争议解决</w:t>
      </w:r>
    </w:p>
    <w:p>
      <w:pPr>
        <w:spacing w:after="80"/>
        <w:ind w:left="259" w:hanging="259"/>
      </w:pPr>
      <w:r>
        <w:rPr>
          <w:rFonts w:ascii="Calibri" w:hAnsi="Calibri" w:eastAsia="PingFang SC"/>
          <w:b w:val="0"/>
          <w:color w:val="000000"/>
          <w:sz w:val="22"/>
        </w:rPr>
        <w:t>· 因本合同产生的争议，双方应先友好协商解决；协商不成的，适用法律和争议解决地点由双方在正式签署时补充确认。</w:t>
      </w:r>
    </w:p>
    <w:p>
      <w:pPr>
        <w:spacing w:before="240" w:after="120" w:line="264" w:lineRule="auto"/>
      </w:pPr>
      <w:r>
        <w:rPr>
          <w:rFonts w:ascii="Calibri" w:hAnsi="Calibri" w:eastAsia="PingFang SC"/>
          <w:b/>
          <w:color w:val="2E74B5"/>
          <w:sz w:val="26"/>
        </w:rPr>
        <w:t>3，合同生效</w:t>
      </w:r>
    </w:p>
    <w:p>
      <w:pPr>
        <w:spacing w:after="80"/>
        <w:ind w:left="259" w:hanging="259"/>
      </w:pPr>
      <w:r>
        <w:rPr>
          <w:rFonts w:ascii="Calibri" w:hAnsi="Calibri" w:eastAsia="PingFang SC"/>
          <w:b w:val="0"/>
          <w:color w:val="000000"/>
          <w:sz w:val="22"/>
        </w:rPr>
        <w:t>· 本合同经双方授权代表签字或盖章后生效，可采用纸质签署或双方认可的电子签署方式。</w:t>
      </w:r>
    </w:p>
    <w:p/>
    <w:tbl>
      <w:tblPr>
        <w:tblStyle w:val="TableGrid"/>
        <w:tblW w:type="dxa" w:w="9360"/>
        <w:tblLook w:firstColumn="1" w:firstRow="1" w:lastColumn="0" w:lastRow="0" w:noHBand="0" w:noVBand="1" w:val="04A0"/>
        <w:tblLayout w:type="fixed"/>
      </w:tblPr>
      <w:tblGrid>
        <w:gridCol w:w="4680"/>
        <w:gridCol w:w="4680"/>
      </w:tblGrid>
      <w:tr>
        <w:tc>
          <w:tcPr>
            <w:tcW w:type="dxa" w:w="4680"/>
            <w:tcMar>
              <w:top w:w="160" w:type="dxa"/>
              <w:start w:w="160" w:type="dxa"/>
              <w:bottom w:w="160" w:type="dxa"/>
              <w:end w:w="160" w:type="dxa"/>
            </w:tcMar>
            <w:vAlign w:val="center"/>
          </w:tcPr>
          <w:p>
            <w:r>
              <w:rPr>
                <w:rFonts w:ascii="Calibri" w:hAnsi="Calibri" w:eastAsia="PingFang SC"/>
                <w:b w:val="0"/>
                <w:color w:val="000000"/>
                <w:sz w:val="21"/>
              </w:rPr>
              <w:t>甲方（签字/盖章）：</w:t>
            </w:r>
          </w:p>
        </w:tc>
        <w:tc>
          <w:tcPr>
            <w:tcW w:type="dxa" w:w="4680"/>
            <w:tcMar>
              <w:top w:w="160" w:type="dxa"/>
              <w:start w:w="160" w:type="dxa"/>
              <w:bottom w:w="160" w:type="dxa"/>
              <w:end w:w="160" w:type="dxa"/>
            </w:tcMar>
            <w:vAlign w:val="center"/>
          </w:tcPr>
          <w:p>
            <w:r>
              <w:rPr>
                <w:rFonts w:ascii="Calibri" w:hAnsi="Calibri" w:eastAsia="PingFang SC"/>
                <w:b w:val="0"/>
                <w:color w:val="000000"/>
                <w:sz w:val="21"/>
              </w:rPr>
              <w:t>乙方（签字/盖章）：</w:t>
            </w:r>
          </w:p>
        </w:tc>
      </w:tr>
      <w:tr>
        <w:tc>
          <w:tcPr>
            <w:tcW w:type="dxa" w:w="4680"/>
            <w:tcMar>
              <w:top w:w="160" w:type="dxa"/>
              <w:start w:w="160" w:type="dxa"/>
              <w:bottom w:w="160" w:type="dxa"/>
              <w:end w:w="160" w:type="dxa"/>
            </w:tcMar>
            <w:vAlign w:val="center"/>
          </w:tcPr>
          <w:p>
            <w:r>
              <w:rPr>
                <w:rFonts w:ascii="Calibri" w:hAnsi="Calibri" w:eastAsia="PingFang SC"/>
                <w:b w:val="0"/>
                <w:color w:val="000000"/>
                <w:sz w:val="21"/>
              </w:rPr>
              <w:t>授权代表：</w:t>
            </w:r>
          </w:p>
        </w:tc>
        <w:tc>
          <w:tcPr>
            <w:tcW w:type="dxa" w:w="4680"/>
            <w:tcMar>
              <w:top w:w="160" w:type="dxa"/>
              <w:start w:w="160" w:type="dxa"/>
              <w:bottom w:w="160" w:type="dxa"/>
              <w:end w:w="160" w:type="dxa"/>
            </w:tcMar>
            <w:vAlign w:val="center"/>
          </w:tcPr>
          <w:p>
            <w:r>
              <w:rPr>
                <w:rFonts w:ascii="Calibri" w:hAnsi="Calibri" w:eastAsia="PingFang SC"/>
                <w:b w:val="0"/>
                <w:color w:val="000000"/>
                <w:sz w:val="21"/>
              </w:rPr>
              <w:t>授权代表：</w:t>
            </w:r>
          </w:p>
        </w:tc>
      </w:tr>
      <w:tr>
        <w:tc>
          <w:tcPr>
            <w:tcW w:type="dxa" w:w="4680"/>
            <w:tcMar>
              <w:top w:w="160" w:type="dxa"/>
              <w:start w:w="160" w:type="dxa"/>
              <w:bottom w:w="160" w:type="dxa"/>
              <w:end w:w="160" w:type="dxa"/>
            </w:tcMar>
            <w:vAlign w:val="center"/>
          </w:tcPr>
          <w:p>
            <w:r>
              <w:rPr>
                <w:rFonts w:ascii="Calibri" w:hAnsi="Calibri" w:eastAsia="PingFang SC"/>
                <w:b w:val="0"/>
                <w:color w:val="000000"/>
                <w:sz w:val="21"/>
              </w:rPr>
              <w:t>联系电话：</w:t>
            </w:r>
          </w:p>
        </w:tc>
        <w:tc>
          <w:tcPr>
            <w:tcW w:type="dxa" w:w="4680"/>
            <w:tcMar>
              <w:top w:w="160" w:type="dxa"/>
              <w:start w:w="160" w:type="dxa"/>
              <w:bottom w:w="160" w:type="dxa"/>
              <w:end w:w="160" w:type="dxa"/>
            </w:tcMar>
            <w:vAlign w:val="center"/>
          </w:tcPr>
          <w:p>
            <w:r>
              <w:rPr>
                <w:rFonts w:ascii="Calibri" w:hAnsi="Calibri" w:eastAsia="PingFang SC"/>
                <w:b w:val="0"/>
                <w:color w:val="000000"/>
                <w:sz w:val="21"/>
              </w:rPr>
              <w:t>联系电话：</w:t>
            </w:r>
          </w:p>
        </w:tc>
      </w:tr>
      <w:tr>
        <w:tc>
          <w:tcPr>
            <w:tcW w:type="dxa" w:w="4680"/>
            <w:tcMar>
              <w:top w:w="160" w:type="dxa"/>
              <w:start w:w="160" w:type="dxa"/>
              <w:bottom w:w="160" w:type="dxa"/>
              <w:end w:w="160" w:type="dxa"/>
            </w:tcMar>
            <w:vAlign w:val="center"/>
          </w:tcPr>
          <w:p>
            <w:r>
              <w:rPr>
                <w:rFonts w:ascii="Calibri" w:hAnsi="Calibri" w:eastAsia="PingFang SC"/>
                <w:b w:val="0"/>
                <w:color w:val="000000"/>
                <w:sz w:val="21"/>
              </w:rPr>
              <w:t>签署日期：</w:t>
            </w:r>
          </w:p>
        </w:tc>
        <w:tc>
          <w:tcPr>
            <w:tcW w:type="dxa" w:w="4680"/>
            <w:tcMar>
              <w:top w:w="160" w:type="dxa"/>
              <w:start w:w="160" w:type="dxa"/>
              <w:bottom w:w="160" w:type="dxa"/>
              <w:end w:w="160" w:type="dxa"/>
            </w:tcMar>
            <w:vAlign w:val="center"/>
          </w:tcPr>
          <w:p>
            <w:r>
              <w:rPr>
                <w:rFonts w:ascii="Calibri" w:hAnsi="Calibri" w:eastAsia="PingFang SC"/>
                <w:b w:val="0"/>
                <w:color w:val="000000"/>
                <w:sz w:val="21"/>
              </w:rPr>
              <w:t>签署日期：</w:t>
            </w:r>
          </w:p>
        </w:tc>
      </w:tr>
      <w:tr>
        <w:tc>
          <w:tcPr>
            <w:tcW w:type="dxa" w:w="4680"/>
            <w:tcMar>
              <w:top w:w="160" w:type="dxa"/>
              <w:start w:w="160" w:type="dxa"/>
              <w:bottom w:w="160" w:type="dxa"/>
              <w:end w:w="160" w:type="dxa"/>
            </w:tcMar>
            <w:vAlign w:val="center"/>
          </w:tcPr>
          <w:p>
            <w:r>
              <w:rPr>
                <w:rFonts w:ascii="Calibri" w:hAnsi="Calibri" w:eastAsia="PingFang SC"/>
                <w:b w:val="0"/>
                <w:color w:val="000000"/>
                <w:sz w:val="21"/>
              </w:rPr>
              <w:t>地址/邮箱：</w:t>
            </w:r>
          </w:p>
        </w:tc>
        <w:tc>
          <w:tcPr>
            <w:tcW w:type="dxa" w:w="4680"/>
            <w:tcMar>
              <w:top w:w="160" w:type="dxa"/>
              <w:start w:w="160" w:type="dxa"/>
              <w:bottom w:w="160" w:type="dxa"/>
              <w:end w:w="160" w:type="dxa"/>
            </w:tcMar>
            <w:vAlign w:val="center"/>
          </w:tcPr>
          <w:p>
            <w:r>
              <w:rPr>
                <w:rFonts w:ascii="Calibri" w:hAnsi="Calibri" w:eastAsia="PingFang SC"/>
                <w:b w:val="0"/>
                <w:color w:val="000000"/>
                <w:sz w:val="21"/>
              </w:rPr>
              <w:t>地址/邮箱：</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PingFang SC"/>
        <w:b w:val="0"/>
        <w:color w:val="5A5A5A"/>
        <w:sz w:val="18"/>
      </w:rPr>
      <w:t xml:space="preserve">第 </w:t>
    </w:r>
    <w:r>
      <w:fldChar w:fldCharType="begin"/>
      <w:instrText xml:space="preserve">PAGE</w:instrText>
      <w:fldChar w:fldCharType="end"/>
    </w:r>
    <w:r>
      <w:rPr>
        <w:rFonts w:ascii="Calibri" w:hAnsi="Calibri" w:eastAsia="PingFang SC"/>
        <w:b w:val="0"/>
        <w:color w:val="5A5A5A"/>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PingFang SC"/>
        <w:b w:val="0"/>
        <w:color w:val="5A5A5A"/>
        <w:sz w:val="18"/>
      </w:rPr>
      <w:t>edunet（桐心成长）合同模板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PingFang SC" w:hAnsi="PingFang SC"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PingFang SC" w:hAnsi="PingFang SC"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PingFang SC" w:hAnsi="PingFang SC" w:eastAsia="PingFang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