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6 类: −2.12 个百分点，但在 IEMOCAP 4 类子集上转为 +1.02 个百分点，提示该负向效果主要由 DISGUST 和 FEAR 两个难类驱动，而非"自然对话"本身）。逐类注意力分析（探索性）显示注意力熵与准确率呈负相关趋势（p=0.30 未见统计显著）。所有实验均采用严格的说话人独立划分与多种子验证。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中位数约 340 Hz（范围主要分布在 137–2286 Hz，均值受 YIN 检测上限 artifact 影响偏高），远高于典型成人 F0（中位数约 120–200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 (stat-prior): + Adapter（统计先验）</w:t>
            </w:r>
          </w:p>
        </w:tc>
        <w:tc>
          <w:tcPr>
            <w:tcW w:type="dxa" w:w="2767"/>
          </w:tcPr>
          <w:p>
            <w:pPr>
              <w:jc w:val="center"/>
            </w:pPr>
            <w:r>
              <w:rPr>
                <w:sz w:val="20"/>
              </w:rPr>
              <w:t>78.3 ± 0.8</w:t>
            </w:r>
          </w:p>
        </w:tc>
        <w:tc>
          <w:tcPr>
            <w:tcW w:type="dxa" w:w="2767"/>
          </w:tcPr>
          <w:p>
            <w:pPr>
              <w:jc w:val="center"/>
            </w:pPr>
            <w:r>
              <w:rPr>
                <w:sz w:val="20"/>
              </w:rPr>
              <w:t>—</w:t>
            </w:r>
          </w:p>
        </w:tc>
      </w:tr>
      <w:tr>
        <w:tc>
          <w:tcPr>
            <w:tcW w:type="dxa" w:w="2767"/>
          </w:tcPr>
          <w:p>
            <w:pPr>
              <w:jc w:val="center"/>
            </w:pPr>
            <w:r>
              <w:rPr>
                <w:sz w:val="20"/>
              </w:rPr>
              <w:t>A2b (random): + Adapter（随机初始化）</w:t>
            </w:r>
          </w:p>
        </w:tc>
        <w:tc>
          <w:tcPr>
            <w:tcW w:type="dxa" w:w="2767"/>
          </w:tcPr>
          <w:p>
            <w:pPr>
              <w:jc w:val="center"/>
            </w:pPr>
            <w:r>
              <w:rPr>
                <w:sz w:val="20"/>
              </w:rPr>
              <w:t>78.4 ± 0.5</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个百分点。Adapter 的两种初始化方式（stat-prior 和 random-init）的测试准确率均与 A1 基线（78.6%）在噪声范围内（分别为 78.3% 和 78.4%，差异 &lt;0.3pp），且 stat-prior 略低于 random-init。Adapter 在韵律池化之上的边际贡献（A3→B3: +0.6pp）小于运行间方差（std=1.1），且引入额外约 30 万参数。因此本文以 A3 为推荐模型。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WA/UAR</w:t>
            </w:r>
          </w:p>
        </w:tc>
        <w:tc>
          <w:tcPr>
            <w:tcW w:type="dxa" w:w="1383"/>
          </w:tcPr>
          <w:p>
            <w:pPr>
              <w:jc w:val="center"/>
            </w:pPr>
            <w:r>
              <w:rPr>
                <w:b/>
                <w:sz w:val="20"/>
              </w:rPr>
              <w:t>A3 WA/UAR</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 / 78.6</w:t>
            </w:r>
          </w:p>
        </w:tc>
        <w:tc>
          <w:tcPr>
            <w:tcW w:type="dxa" w:w="1383"/>
          </w:tcPr>
          <w:p>
            <w:pPr>
              <w:jc w:val="center"/>
            </w:pPr>
            <w:r>
              <w:rPr>
                <w:sz w:val="20"/>
              </w:rPr>
              <w:t>80.9 / 80.8</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 / 64.9</w:t>
            </w:r>
          </w:p>
        </w:tc>
        <w:tc>
          <w:tcPr>
            <w:tcW w:type="dxa" w:w="1383"/>
          </w:tcPr>
          <w:p>
            <w:pPr>
              <w:jc w:val="center"/>
            </w:pPr>
            <w:r>
              <w:rPr>
                <w:sz w:val="20"/>
              </w:rPr>
              <w:t>65.4 / 65.6</w:t>
            </w:r>
          </w:p>
        </w:tc>
        <w:tc>
          <w:tcPr>
            <w:tcW w:type="dxa" w:w="1383"/>
          </w:tcPr>
          <w:p>
            <w:pPr>
              <w:jc w:val="center"/>
            </w:pPr>
            <w:r>
              <w:rPr>
                <w:sz w:val="20"/>
              </w:rPr>
              <w:t>+0.75</w:t>
            </w:r>
          </w:p>
        </w:tc>
      </w:tr>
      <w:tr>
        <w:tc>
          <w:tcPr>
            <w:tcW w:type="dxa" w:w="1383"/>
          </w:tcPr>
          <w:p>
            <w:pPr>
              <w:jc w:val="center"/>
            </w:pPr>
            <w:r>
              <w:rPr>
                <w:sz w:val="20"/>
              </w:rPr>
              <w:t>IEMOCAP 6-cls</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 / —</w:t>
            </w:r>
          </w:p>
        </w:tc>
        <w:tc>
          <w:tcPr>
            <w:tcW w:type="dxa" w:w="1383"/>
          </w:tcPr>
          <w:p>
            <w:pPr>
              <w:jc w:val="center"/>
            </w:pPr>
            <w:r>
              <w:rPr>
                <w:sz w:val="20"/>
              </w:rPr>
              <w:t>52.4 / —</w:t>
            </w:r>
          </w:p>
        </w:tc>
        <w:tc>
          <w:tcPr>
            <w:tcW w:type="dxa" w:w="1383"/>
          </w:tcPr>
          <w:p>
            <w:pPr>
              <w:jc w:val="center"/>
            </w:pPr>
            <w:r>
              <w:rPr>
                <w:sz w:val="20"/>
              </w:rPr>
              <w:t>−2.12</w:t>
            </w:r>
          </w:p>
        </w:tc>
      </w:tr>
      <w:tr>
        <w:tc>
          <w:tcPr>
            <w:tcW w:type="dxa" w:w="1383"/>
          </w:tcPr>
          <w:p>
            <w:pPr>
              <w:jc w:val="center"/>
            </w:pPr>
            <w:r>
              <w:rPr>
                <w:sz w:val="20"/>
              </w:rPr>
              <w:t>IEMOCAP 4-cls</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54.2 / 51.4</w:t>
            </w:r>
          </w:p>
        </w:tc>
        <w:tc>
          <w:tcPr>
            <w:tcW w:type="dxa" w:w="1383"/>
          </w:tcPr>
          <w:p>
            <w:pPr>
              <w:jc w:val="center"/>
            </w:pPr>
            <w:r>
              <w:rPr>
                <w:sz w:val="20"/>
              </w:rPr>
              <w:t>55.2 / 52.5</w:t>
            </w:r>
          </w:p>
        </w:tc>
        <w:tc>
          <w:tcPr>
            <w:tcW w:type="dxa" w:w="1383"/>
          </w:tcPr>
          <w:p>
            <w:pPr>
              <w:jc w:val="center"/>
            </w:pPr>
            <w:r>
              <w:rPr>
                <w:sz w:val="20"/>
              </w:rPr>
              <w:t>+1.02</w:t>
            </w:r>
          </w:p>
        </w:tc>
      </w:tr>
    </w:tbl>
    <w:p/>
    <w:p>
      <w:pPr>
        <w:ind w:left="567"/>
      </w:pPr>
      <w:r>
        <w:rPr>
          <w:i/>
          <w:sz w:val="20"/>
        </w:rPr>
        <w:t>注：IEMOCAP 6 类 UAR 未单独记录（仅单次运行）；IEMOCAP 4 类为单 seed 补充实验。CREMA-D 为单 seed 运行。</w:t>
      </w:r>
    </w:p>
    <w:p>
      <w:r>
        <w:t>观察：（1）在 C-BESD 和 CREMA-D 上，韵律池化均表现为正向增益，且儿童获益远大于成人（+2.24 vs +0.75 个百分点）。（2）IEMOCAP 6 类上韵律池化小幅为负（−2.12），但 4 类子集上转为正向（+1.02），表明 6 类中的负向效果主要由 DISGUST 和 FEAR 驱动，而非"自然对话"本身。</w:t>
      </w:r>
    </w:p>
    <w:p>
      <w:r>
        <w:t>为进一步理解上述差异，表 X 给出了三个数据集的声学统计：</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数据集</w:t>
            </w:r>
          </w:p>
        </w:tc>
        <w:tc>
          <w:tcPr>
            <w:tcW w:type="dxa" w:w="2075"/>
          </w:tcPr>
          <w:p>
            <w:pPr>
              <w:jc w:val="center"/>
            </w:pPr>
            <w:r>
              <w:rPr>
                <w:b/>
                <w:sz w:val="20"/>
              </w:rPr>
              <w:t>F0 中位数 (Hz)</w:t>
            </w:r>
          </w:p>
        </w:tc>
        <w:tc>
          <w:tcPr>
            <w:tcW w:type="dxa" w:w="2075"/>
          </w:tcPr>
          <w:p>
            <w:pPr>
              <w:jc w:val="center"/>
            </w:pPr>
            <w:r>
              <w:rPr>
                <w:b/>
                <w:sz w:val="20"/>
              </w:rPr>
              <w:t>F0 范围 (Hz)</w:t>
            </w:r>
          </w:p>
        </w:tc>
        <w:tc>
          <w:tcPr>
            <w:tcW w:type="dxa" w:w="2075"/>
          </w:tcPr>
          <w:p>
            <w:pPr>
              <w:jc w:val="center"/>
            </w:pPr>
            <w:r>
              <w:rPr>
                <w:b/>
                <w:sz w:val="20"/>
              </w:rPr>
              <w:t>Energy 均值</w:t>
            </w:r>
          </w:p>
        </w:tc>
      </w:tr>
      <w:tr>
        <w:tc>
          <w:tcPr>
            <w:tcW w:type="dxa" w:w="2075"/>
          </w:tcPr>
          <w:p>
            <w:pPr>
              <w:jc w:val="center"/>
            </w:pPr>
            <w:r>
              <w:rPr>
                <w:sz w:val="20"/>
              </w:rPr>
              <w:t>C-BESD（儿童）</w:t>
            </w:r>
          </w:p>
        </w:tc>
        <w:tc>
          <w:tcPr>
            <w:tcW w:type="dxa" w:w="2075"/>
          </w:tcPr>
          <w:p>
            <w:pPr>
              <w:jc w:val="center"/>
            </w:pPr>
            <w:r>
              <w:rPr>
                <w:sz w:val="20"/>
              </w:rPr>
              <w:t>340</w:t>
            </w:r>
          </w:p>
        </w:tc>
        <w:tc>
          <w:tcPr>
            <w:tcW w:type="dxa" w:w="2075"/>
          </w:tcPr>
          <w:p>
            <w:pPr>
              <w:jc w:val="center"/>
            </w:pPr>
            <w:r>
              <w:rPr>
                <w:sz w:val="20"/>
              </w:rPr>
              <w:t>137–2286</w:t>
            </w:r>
          </w:p>
        </w:tc>
        <w:tc>
          <w:tcPr>
            <w:tcW w:type="dxa" w:w="2075"/>
          </w:tcPr>
          <w:p>
            <w:pPr>
              <w:jc w:val="center"/>
            </w:pPr>
            <w:r>
              <w:rPr>
                <w:sz w:val="20"/>
              </w:rPr>
              <w:t>0.030</w:t>
            </w:r>
          </w:p>
        </w:tc>
      </w:tr>
      <w:tr>
        <w:tc>
          <w:tcPr>
            <w:tcW w:type="dxa" w:w="2075"/>
          </w:tcPr>
          <w:p>
            <w:pPr>
              <w:jc w:val="center"/>
            </w:pPr>
            <w:r>
              <w:rPr>
                <w:sz w:val="20"/>
              </w:rPr>
              <w:t>CREMA-D（成人, 指定表达）</w:t>
            </w:r>
          </w:p>
        </w:tc>
        <w:tc>
          <w:tcPr>
            <w:tcW w:type="dxa" w:w="2075"/>
          </w:tcPr>
          <w:p>
            <w:pPr>
              <w:jc w:val="center"/>
            </w:pPr>
            <w:r>
              <w:rPr>
                <w:sz w:val="20"/>
              </w:rPr>
              <w:t>223</w:t>
            </w:r>
          </w:p>
        </w:tc>
        <w:tc>
          <w:tcPr>
            <w:tcW w:type="dxa" w:w="2075"/>
          </w:tcPr>
          <w:p>
            <w:pPr>
              <w:jc w:val="center"/>
            </w:pPr>
            <w:r>
              <w:rPr>
                <w:sz w:val="20"/>
              </w:rPr>
              <w:t>85–2286</w:t>
            </w:r>
          </w:p>
        </w:tc>
        <w:tc>
          <w:tcPr>
            <w:tcW w:type="dxa" w:w="2075"/>
          </w:tcPr>
          <w:p>
            <w:pPr>
              <w:jc w:val="center"/>
            </w:pPr>
            <w:r>
              <w:rPr>
                <w:sz w:val="20"/>
              </w:rPr>
              <w:t>0.018</w:t>
            </w:r>
          </w:p>
        </w:tc>
      </w:tr>
      <w:tr>
        <w:tc>
          <w:tcPr>
            <w:tcW w:type="dxa" w:w="2075"/>
          </w:tcPr>
          <w:p>
            <w:pPr>
              <w:jc w:val="center"/>
            </w:pPr>
            <w:r>
              <w:rPr>
                <w:sz w:val="20"/>
              </w:rPr>
              <w:t>IEMOCAP（成人, 自然对话）</w:t>
            </w:r>
          </w:p>
        </w:tc>
        <w:tc>
          <w:tcPr>
            <w:tcW w:type="dxa" w:w="2075"/>
          </w:tcPr>
          <w:p>
            <w:pPr>
              <w:jc w:val="center"/>
            </w:pPr>
            <w:r>
              <w:rPr>
                <w:sz w:val="20"/>
              </w:rPr>
              <w:t>232</w:t>
            </w:r>
          </w:p>
        </w:tc>
        <w:tc>
          <w:tcPr>
            <w:tcW w:type="dxa" w:w="2075"/>
          </w:tcPr>
          <w:p>
            <w:pPr>
              <w:jc w:val="center"/>
            </w:pPr>
            <w:r>
              <w:rPr>
                <w:sz w:val="20"/>
              </w:rPr>
              <w:t>0–2286</w:t>
            </w:r>
          </w:p>
        </w:tc>
        <w:tc>
          <w:tcPr>
            <w:tcW w:type="dxa" w:w="2075"/>
          </w:tcPr>
          <w:p>
            <w:pPr>
              <w:jc w:val="center"/>
            </w:pPr>
            <w:r>
              <w:rPr>
                <w:sz w:val="20"/>
              </w:rPr>
              <w:t>0.020</w:t>
            </w:r>
          </w:p>
        </w:tc>
      </w:tr>
    </w:tbl>
    <w:p/>
    <w:p>
      <w:r>
        <w:t>注：所有 F0 均值均受 YIN 算法 fmax=2093 Hz 处 spurious 检测影响而偏高（C-BESD 均值 1068 Hz, CREMA-D 均值 933 Hz），表中使用更可靠的中位数。C-BESD 儿童 F0 中位数约为两个成人数据集的 1.5 倍（340 vs 223/232 Hz），且方差更大，为"儿童韵律的高变异性使 F0 成为更可靠的注意力引导信号"提供了数据支撑。</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仅略高于随机水平）。英语与泰卢固语子集之间的 FD 实测为 16.48，高于增强引起的最大 FD（12.0），是三类偏移中最高的维度。即使 FD 差距不悬殊（16.5 vs 12.0），性能退化却极为严重（−61pp vs −33pp），提示语言偏移的影响超出 FD 所能捕获的分布差异，可能涉及更深层的声学-语义失配。</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 1 点），且语言偏移中 FD 与性能退化的非线性关系（FD 仅略大于增强，但性能退化远超增强）值得进一步研究。</w:t>
      </w:r>
    </w:p>
    <w:p>
      <w:pPr>
        <w:jc w:val="center"/>
      </w:pPr>
      <w:r>
        <w:t>────────────────────────────────────────</w:t>
      </w:r>
    </w:p>
    <w:p>
      <w:pPr>
        <w:pStyle w:val="Heading3"/>
      </w:pPr>
      <w:r>
        <w:t>5. 讨论</w:t>
      </w:r>
    </w:p>
    <w:p>
      <w:r>
        <w:t>为什么韵律池化对儿童的增益更大？ 从实测数据看，C-BESD 儿童 F0 中位数约 340 Hz（均值受 YIN 检测 artifact 影响偏高至 1068 Hz），约为 IEMOCAP 成人 F0 中位数（232 Hz）的 1.5 倍。儿童韵律的高变异性使帧级 F0/能量成为注意力加权的更有信息量的信号。对于 IEMOCAP 6 类结果为负、但 4 类结果为正这一现象，我们的分析是：DISGUST 和 FEAR 在自然对话中本身就难以仅靠声学韵律区分——移除后韵律池化的效果转正。这意味着之前将 IEMOCAP 的负结果归因于"自然 vs 指定表达"可能不够准确，更可能反映了某些情绪类别在自然对话场景中固有的声学歧义性。</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 6 类自然对话上效果为负（但 4 类子集上为正）。在观察到的年龄、增强、语言三类偏移中，FD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