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基于分布驱动的儿童语音情绪识别研究</w:t>
      </w:r>
    </w:p>
    <w:p>
      <w:pPr>
        <w:ind w:left="567"/>
      </w:pPr>
      <w:r>
        <w:rPr>
          <w:i/>
          <w:sz w:val="20"/>
        </w:rPr>
        <w:t>论文初稿 v5 | 日期：2026-05-03</w:t>
        <w:br/>
        <w:t>基于 v4 修改：数据协议、模块叙事、实验章节重整</w:t>
        <w:br/>
        <w:br/>
        <w:t>**v5 重要标注**：当前所有实验数值来自历史 60/20/20 speaker-independent 协议。</w:t>
        <w:br/>
        <w:t>最终推荐协议为"外部 7:3 + 内部 val"。数值待新协议重跑验证。</w:t>
      </w:r>
    </w:p>
    <w:p>
      <w:pPr>
        <w:jc w:val="center"/>
      </w:pPr>
      <w:r>
        <w:t>────────────────────────────────────────</w:t>
      </w:r>
    </w:p>
    <w:p>
      <w:pPr>
        <w:pStyle w:val="Heading3"/>
      </w:pPr>
      <w:r>
        <w:t>摘  要</w:t>
      </w:r>
    </w:p>
    <w:p>
      <w:r>
        <w:t>现有语音情绪识别（Speech Emotion Recognition, SER）方法主要基于成人语音开发，直接应用于儿童语音时准确率大幅下降。通过实验发现，问题的根源不仅仅是声学参数的数值差异，更在于儿童与成人语音之间的分布偏移——即使使用先进的预训练模型，儿童语音在模型的特征空间中仍存在系统性的偏差。</w:t>
      </w:r>
    </w:p>
    <w:p>
      <w:r>
        <w:t>针对这一问题，本文提出"先分析差异，再校准建模"的研究思路。具体而言，首先通过统计分析揭示儿童语音的声学特性及其在预训练模型特征空间中的分布偏移；然后基于分析结果设计两个技术模块：（1）声学校准适配器（Acoustic Calibration Adapter），对预训练模型输出的每一帧儿童语音特征进行自适应校准，缓解分布偏移；（2）韵律引导的时序重要性池化（Prosody-guided Temporal Importance Pooling），利用儿童的音高和能量变化引导帧级注意力，替代传统均值池化。此外，本文通过增强敏感性分析（负面实验），系统验证了成人SER中常用的数据增强方法在儿童语音上会导致严重的分布偏移和分类退化。</w:t>
      </w:r>
    </w:p>
    <w:p>
      <w:r>
        <w:t>在C-BESD儿童双语情绪数据集的混合语言子集上，本文方法的识别准确率从传统手工特征基线的约35%提升至81.24%（WavLM + Adapter + Prosody Pooling, 严格speaker-independent测试）。消融实验表明两个模块各自有稳定贡献，增强敏感性实验进一步验证了分布偏移与分类退化之间的定量关联。</w:t>
      </w:r>
    </w:p>
    <w:p>
      <w:r>
        <w:t>关键词：儿童语音情绪识别；分布偏移；声学校准适配器；韵律引导池化；预训练语音模型；增强敏感性分析</w:t>
      </w:r>
    </w:p>
    <w:p>
      <w:pPr>
        <w:jc w:val="center"/>
      </w:pPr>
      <w:r>
        <w:t>────────────────────────────────────────</w:t>
      </w:r>
    </w:p>
    <w:p>
      <w:pPr>
        <w:pStyle w:val="Heading3"/>
      </w:pPr>
      <w:r>
        <w:t>1  引言</w:t>
      </w:r>
    </w:p>
    <w:p>
      <w:r>
        <w:t>语音情绪识别（SER）旨在从语音信号中自动识别说话人的情绪状态。近年来，基于深度学习和大规模自监督预训练模型（如wav2vec 2.0、HuBERT、WavLM等）的方法，在成人语音的SER任务上取得了显著进展。然而，当这些模型被直接迁移到儿童语音时，识别准确率从成人语音上常见的70-85%骤降至30-40%。</w:t>
      </w:r>
    </w:p>
    <w:p>
      <w:r>
        <w:t>本研究的出发点是：儿童与成人语音之间存在根本性的声学差异——儿童的基频更高（通常250-400 Hz vs. 成人80-220 Hz）、共振峰分布更分散、语速变异性更大。这些差异导致预训练模型从成人语音中学到的特征空间分布与儿童语音的真实分布之间存在系统性偏移。现有SER方法普遍使用对帧级特征取均值池化（mean pooling）的方式将变长语音压缩为固定长度向量，这一操作（1）完全丢失了帧级特征的时间顺序信息，使得后续的Conv1d/attention等时序建模操作实际上在特征拼接维度而非真实时间轴上滑动；（2）将情绪信息密度不均匀的帧等权对待，关键的韵律变化信息被稀释。</w:t>
      </w:r>
    </w:p>
    <w:p>
      <w:r>
        <w:t>本文的工作思路可概括为"先分析差异，再校准建模"。第一，对儿童语音的声学特性及其在预训练模型特征空间中的分布偏移进行系统性的统计分析。第二，基于分析结果设计两个技术模块，分别在帧级特征校准和帧级时序融合两个环节进行针对性改进。第三，通过严格的增强敏感性分析（负面实验），验证成人SER经验不可直接迁移的论点。</w:t>
      </w:r>
    </w:p>
    <w:p>
      <w:r>
        <w:t>本文的主要贡献包括：（1）定量刻画了儿童语音在WavLM预训练特征空间中的分布偏移（FD=0.37），并证明简单线性补偿不足以解决该问题；（2）提出声学校准适配器和韵律引导时序池化两个轻量模块，合计可训练参数仅约100万，无需微调9400万参数的预训练模型；（3）通过增强敏感性实验揭示了分布偏移（FD）与分类准确率之间的严格负相关关系，为"分布驱动"的研究范式提供了定量证据；（4）验证了跨语言场景下语言偏移是比声学偏移更严重的分布偏移维度。</w:t>
      </w:r>
    </w:p>
    <w:p>
      <w:pPr>
        <w:jc w:val="center"/>
      </w:pPr>
      <w:r>
        <w:t>────────────────────────────────────────</w:t>
      </w:r>
    </w:p>
    <w:p>
      <w:pPr>
        <w:pStyle w:val="Heading3"/>
      </w:pPr>
      <w:r>
        <w:t>2  数据集与预处理</w:t>
      </w:r>
    </w:p>
    <w:p>
      <w:pPr>
        <w:pStyle w:val="Heading4"/>
      </w:pPr>
      <w:r>
        <w:t>2.1  C-BESD数据集</w:t>
      </w:r>
    </w:p>
    <w:p>
      <w:r>
        <w:t>本文使用C-BESD（Children-Bilingual Emotion Speech Dataset）儿童双语情绪语音数据集。该数据集于2024年发布，包含约4,320条语音样本，由70名6至12岁儿童（35名男童、35名女童）录制。数据集涵盖六类基本情绪（ANGER、DISGUST、FEAR、HAPPY、NEUTRAL、SAD），包含泰卢固语（TELUGU）和英语（ENGLISH）两种语言。</w:t>
      </w:r>
    </w:p>
    <w:p>
      <w:pPr>
        <w:pStyle w:val="Heading4"/>
      </w:pPr>
      <w:r>
        <w:t>2.2  数据处理方式</w:t>
      </w:r>
    </w:p>
    <w:p>
      <w:r>
        <w:t>本研究中，我们将泰卢固语和英语两个语言子集合并使用（称为MY子集），基于情绪标签进行分类，不考虑语言标签。经过去除无效文件（Copy副本、非标准格式文件等），实际获得约4,200个有效样本（精确样本数取决于最终划分协议）。合并两种语言的理由是：（1）儿童语音的情绪表达机制遵循跨语言的声学规律，使用跨语言数据有助于训练更鲁棒的模型；（2）样本量扩大有助于小样本情绪类别（如DISGUST、FEAR）的学习。</w:t>
      </w:r>
    </w:p>
    <w:p>
      <w:r>
        <w:t>表1  C-BESD数据集情绪类别分布（泰卢固语+英语合并后）</w:t>
      </w:r>
    </w:p>
    <w:tbl>
      <w:tblPr>
        <w:tblStyle w:val="LightGrid-Accent1"/>
        <w:tblW w:type="auto" w:w="0"/>
        <w:tblLook w:firstColumn="1" w:firstRow="1" w:lastColumn="0" w:lastRow="0" w:noHBand="0" w:noVBand="1" w:val="04A0"/>
      </w:tblPr>
      <w:tblGrid>
        <w:gridCol w:w="1037"/>
        <w:gridCol w:w="1037"/>
        <w:gridCol w:w="1037"/>
        <w:gridCol w:w="1037"/>
        <w:gridCol w:w="1037"/>
        <w:gridCol w:w="1037"/>
        <w:gridCol w:w="1037"/>
        <w:gridCol w:w="1037"/>
      </w:tblGrid>
      <w:tr>
        <w:tc>
          <w:tcPr>
            <w:tcW w:type="dxa" w:w="1037"/>
          </w:tcPr>
          <w:p>
            <w:pPr>
              <w:jc w:val="center"/>
            </w:pPr>
            <w:r>
              <w:rPr>
                <w:b/>
                <w:sz w:val="20"/>
              </w:rPr>
              <w:t>情绪</w:t>
            </w:r>
          </w:p>
        </w:tc>
        <w:tc>
          <w:tcPr>
            <w:tcW w:type="dxa" w:w="1037"/>
          </w:tcPr>
          <w:p>
            <w:pPr>
              <w:jc w:val="center"/>
            </w:pPr>
            <w:r>
              <w:rPr>
                <w:b/>
                <w:sz w:val="20"/>
              </w:rPr>
              <w:t>ANGER</w:t>
            </w:r>
          </w:p>
        </w:tc>
        <w:tc>
          <w:tcPr>
            <w:tcW w:type="dxa" w:w="1037"/>
          </w:tcPr>
          <w:p>
            <w:pPr>
              <w:jc w:val="center"/>
            </w:pPr>
            <w:r>
              <w:rPr>
                <w:b/>
                <w:sz w:val="20"/>
              </w:rPr>
              <w:t>DISGUST</w:t>
            </w:r>
          </w:p>
        </w:tc>
        <w:tc>
          <w:tcPr>
            <w:tcW w:type="dxa" w:w="1037"/>
          </w:tcPr>
          <w:p>
            <w:pPr>
              <w:jc w:val="center"/>
            </w:pPr>
            <w:r>
              <w:rPr>
                <w:b/>
                <w:sz w:val="20"/>
              </w:rPr>
              <w:t>FEAR</w:t>
            </w:r>
          </w:p>
        </w:tc>
        <w:tc>
          <w:tcPr>
            <w:tcW w:type="dxa" w:w="1037"/>
          </w:tcPr>
          <w:p>
            <w:pPr>
              <w:jc w:val="center"/>
            </w:pPr>
            <w:r>
              <w:rPr>
                <w:b/>
                <w:sz w:val="20"/>
              </w:rPr>
              <w:t>HAPPY</w:t>
            </w:r>
          </w:p>
        </w:tc>
        <w:tc>
          <w:tcPr>
            <w:tcW w:type="dxa" w:w="1037"/>
          </w:tcPr>
          <w:p>
            <w:pPr>
              <w:jc w:val="center"/>
            </w:pPr>
            <w:r>
              <w:rPr>
                <w:b/>
                <w:sz w:val="20"/>
              </w:rPr>
              <w:t>NEUTRAL</w:t>
            </w:r>
          </w:p>
        </w:tc>
        <w:tc>
          <w:tcPr>
            <w:tcW w:type="dxa" w:w="1037"/>
          </w:tcPr>
          <w:p>
            <w:pPr>
              <w:jc w:val="center"/>
            </w:pPr>
            <w:r>
              <w:rPr>
                <w:b/>
                <w:sz w:val="20"/>
              </w:rPr>
              <w:t>SAD</w:t>
            </w:r>
          </w:p>
        </w:tc>
        <w:tc>
          <w:tcPr>
            <w:tcW w:type="dxa" w:w="1037"/>
          </w:tcPr>
          <w:p>
            <w:pPr>
              <w:jc w:val="center"/>
            </w:pPr>
            <w:r>
              <w:rPr>
                <w:b/>
                <w:sz w:val="20"/>
              </w:rPr>
              <w:t>合计</w:t>
            </w:r>
          </w:p>
        </w:tc>
      </w:tr>
      <w:tr>
        <w:tc>
          <w:tcPr>
            <w:tcW w:type="dxa" w:w="1037"/>
          </w:tcPr>
          <w:p>
            <w:pPr>
              <w:jc w:val="center"/>
            </w:pPr>
            <w:r>
              <w:rPr>
                <w:sz w:val="20"/>
              </w:rPr>
              <w:t>样本数</w:t>
            </w:r>
          </w:p>
        </w:tc>
        <w:tc>
          <w:tcPr>
            <w:tcW w:type="dxa" w:w="1037"/>
          </w:tcPr>
          <w:p>
            <w:pPr>
              <w:jc w:val="center"/>
            </w:pPr>
            <w:r>
              <w:rPr>
                <w:sz w:val="20"/>
              </w:rPr>
              <w:t>~700</w:t>
            </w:r>
          </w:p>
        </w:tc>
        <w:tc>
          <w:tcPr>
            <w:tcW w:type="dxa" w:w="1037"/>
          </w:tcPr>
          <w:p>
            <w:pPr>
              <w:jc w:val="center"/>
            </w:pPr>
            <w:r>
              <w:rPr>
                <w:sz w:val="20"/>
              </w:rPr>
              <w:t>~700</w:t>
            </w:r>
          </w:p>
        </w:tc>
        <w:tc>
          <w:tcPr>
            <w:tcW w:type="dxa" w:w="1037"/>
          </w:tcPr>
          <w:p>
            <w:pPr>
              <w:jc w:val="center"/>
            </w:pPr>
            <w:r>
              <w:rPr>
                <w:sz w:val="20"/>
              </w:rPr>
              <w:t>~700</w:t>
            </w:r>
          </w:p>
        </w:tc>
        <w:tc>
          <w:tcPr>
            <w:tcW w:type="dxa" w:w="1037"/>
          </w:tcPr>
          <w:p>
            <w:pPr>
              <w:jc w:val="center"/>
            </w:pPr>
            <w:r>
              <w:rPr>
                <w:sz w:val="20"/>
              </w:rPr>
              <w:t>~700</w:t>
            </w:r>
          </w:p>
        </w:tc>
        <w:tc>
          <w:tcPr>
            <w:tcW w:type="dxa" w:w="1037"/>
          </w:tcPr>
          <w:p>
            <w:pPr>
              <w:jc w:val="center"/>
            </w:pPr>
            <w:r>
              <w:rPr>
                <w:sz w:val="20"/>
              </w:rPr>
              <w:t>~700</w:t>
            </w:r>
          </w:p>
        </w:tc>
        <w:tc>
          <w:tcPr>
            <w:tcW w:type="dxa" w:w="1037"/>
          </w:tcPr>
          <w:p>
            <w:pPr>
              <w:jc w:val="center"/>
            </w:pPr>
            <w:r>
              <w:rPr>
                <w:sz w:val="20"/>
              </w:rPr>
              <w:t>~700</w:t>
            </w:r>
          </w:p>
        </w:tc>
        <w:tc>
          <w:tcPr>
            <w:tcW w:type="dxa" w:w="1037"/>
          </w:tcPr>
          <w:p>
            <w:pPr>
              <w:jc w:val="center"/>
            </w:pPr>
            <w:r>
              <w:rPr>
                <w:sz w:val="20"/>
              </w:rPr>
              <w:t>~4,200</w:t>
            </w:r>
          </w:p>
        </w:tc>
      </w:tr>
      <w:tr>
        <w:tc>
          <w:tcPr>
            <w:tcW w:type="dxa" w:w="1037"/>
          </w:tcPr>
          <w:p>
            <w:pPr>
              <w:jc w:val="center"/>
            </w:pPr>
            <w:r>
              <w:rPr>
                <w:sz w:val="20"/>
              </w:rPr>
              <w:t>占比</w:t>
            </w:r>
          </w:p>
        </w:tc>
        <w:tc>
          <w:tcPr>
            <w:tcW w:type="dxa" w:w="1037"/>
          </w:tcPr>
          <w:p>
            <w:pPr>
              <w:jc w:val="center"/>
            </w:pPr>
            <w:r>
              <w:rPr>
                <w:sz w:val="20"/>
              </w:rPr>
              <w:t>~16.7%</w:t>
            </w:r>
          </w:p>
        </w:tc>
        <w:tc>
          <w:tcPr>
            <w:tcW w:type="dxa" w:w="1037"/>
          </w:tcPr>
          <w:p>
            <w:pPr>
              <w:jc w:val="center"/>
            </w:pPr>
            <w:r>
              <w:rPr>
                <w:sz w:val="20"/>
              </w:rPr>
              <w:t>~16.7%</w:t>
            </w:r>
          </w:p>
        </w:tc>
        <w:tc>
          <w:tcPr>
            <w:tcW w:type="dxa" w:w="1037"/>
          </w:tcPr>
          <w:p>
            <w:pPr>
              <w:jc w:val="center"/>
            </w:pPr>
            <w:r>
              <w:rPr>
                <w:sz w:val="20"/>
              </w:rPr>
              <w:t>~16.7%</w:t>
            </w:r>
          </w:p>
        </w:tc>
        <w:tc>
          <w:tcPr>
            <w:tcW w:type="dxa" w:w="1037"/>
          </w:tcPr>
          <w:p>
            <w:pPr>
              <w:jc w:val="center"/>
            </w:pPr>
            <w:r>
              <w:rPr>
                <w:sz w:val="20"/>
              </w:rPr>
              <w:t>~16.7%</w:t>
            </w:r>
          </w:p>
        </w:tc>
        <w:tc>
          <w:tcPr>
            <w:tcW w:type="dxa" w:w="1037"/>
          </w:tcPr>
          <w:p>
            <w:pPr>
              <w:jc w:val="center"/>
            </w:pPr>
            <w:r>
              <w:rPr>
                <w:sz w:val="20"/>
              </w:rPr>
              <w:t>~16.7%</w:t>
            </w:r>
          </w:p>
        </w:tc>
        <w:tc>
          <w:tcPr>
            <w:tcW w:type="dxa" w:w="1037"/>
          </w:tcPr>
          <w:p>
            <w:pPr>
              <w:jc w:val="center"/>
            </w:pPr>
            <w:r>
              <w:rPr>
                <w:sz w:val="20"/>
              </w:rPr>
              <w:t>~16.7%</w:t>
            </w:r>
          </w:p>
        </w:tc>
        <w:tc>
          <w:tcPr>
            <w:tcW w:type="dxa" w:w="1037"/>
          </w:tcPr>
          <w:p>
            <w:pPr>
              <w:jc w:val="center"/>
            </w:pPr>
            <w:r>
              <w:rPr>
                <w:sz w:val="20"/>
              </w:rPr>
              <w:t>100%</w:t>
            </w:r>
          </w:p>
        </w:tc>
      </w:tr>
    </w:tbl>
    <w:p/>
    <w:p>
      <w:r>
        <w:t>（注：精确数字待从实际label文件统计后填入）</w:t>
      </w:r>
    </w:p>
    <w:p>
      <w:pPr>
        <w:pStyle w:val="Heading4"/>
      </w:pPr>
      <w:r>
        <w:t>2.3  说话人独立划分（数据泄露防护协议）</w:t>
      </w:r>
    </w:p>
    <w:p>
      <w:r>
        <w:t>为确保实验严谨性，防止说话人重叠导致的数据泄露（data leakage），本文采用严格的说话人独立（speaker-independent）三路划分策略。最终采用的数据划分协议为"外部7:3 + 内部验证集"：</w:t>
      </w:r>
    </w:p>
    <w:p>
      <w:r>
        <w:t>步骤一（外部分割）：将所有说话人按情绪profile分层，以7:3比例划分为训练验证池（trainval, 70% speaker）和最终测试集（test, 30% speaker）。测试集全程严格隔离，不参与任何训练、验证、统计计算或超参数调整。</w:t>
      </w:r>
    </w:p>
    <w:p>
      <w:r>
        <w:t>步骤二（内部分割）：从trainval池的70%说话人中，再次按情绪profile分层，以85:15比例划分出训练集（train, ~59.5% total speaker）和验证集（val, ~10.5% total speaker）。</w:t>
      </w:r>
    </w:p>
    <w:p>
      <w:r>
        <w:t>关键约束：</w:t>
      </w:r>
    </w:p>
    <w:p>
      <w:r>
        <w:t>- 训练集、验证集、测试集的说话人互不相交（三层断言验证）</w:t>
      </w:r>
    </w:p>
    <w:p>
      <w:r>
        <w:t>- 声学校准适配器的统计先验参数（adapter_init）仅从训练集说话人计算，不使用验证集和测试集说话人</w:t>
      </w:r>
    </w:p>
    <w:p>
      <w:r>
        <w:t>- 验证集仅用于训练过程中的早停（early stopping）判断和模型选择</w:t>
      </w:r>
    </w:p>
    <w:p>
      <w:r>
        <w:t>- 测试集严格作为hold-out集合，仅在最终评估时使用一次</w:t>
      </w:r>
    </w:p>
    <w:p>
      <w:r>
        <w:t>- 禁止将测试集用作验证集，禁止用测试集说话人计算任何统计先验、归一化参数或超参数</w:t>
      </w:r>
    </w:p>
    <w:p>
      <w:r>
        <w:t>最终划分结果：训练集约2,500条（约42名说话人），验证集约800条（约14名说话人），测试集约900条（约14名说话人）。（精确数字取决于split seed和WAV过滤规则，实验中使用seed=42复现。）</w:t>
      </w:r>
    </w:p>
    <w:p>
      <w:r>
        <w:t>协议演进说明：本文早期Phase 3实验使用60%/20%/20%三路直接切分协议。最终论文采用上述"外部7:3 + 内部val"协议。两个协议本质均为speaker-independent的三集合划分，差异在于表述方式和内部val的来源路径。当前论文中的实验数值仍基于60/20/20历史协议，待切换至最终协议后重跑验证。</w:t>
      </w:r>
    </w:p>
    <w:p>
      <w:pPr>
        <w:jc w:val="center"/>
      </w:pPr>
      <w:r>
        <w:t>────────────────────────────────────────</w:t>
      </w:r>
    </w:p>
    <w:p>
      <w:pPr>
        <w:pStyle w:val="Heading3"/>
      </w:pPr>
      <w:r>
        <w:t>3  儿童语音声学分布分析</w:t>
      </w:r>
    </w:p>
    <w:p>
      <w:r>
        <w:t>在介绍方法之前，本文首先对儿童语音的声学特性进行统计分析，并与成人语音对比。分析结果将直接回答一个关键问题：儿童语音到底"不一样"在哪里？这些差异对SER系统意味着什么？</w:t>
      </w:r>
    </w:p>
    <w:p>
      <w:pPr>
        <w:pStyle w:val="Heading4"/>
      </w:pPr>
      <w:r>
        <w:t>3.1  儿童语音声学参数的统计特征</w:t>
      </w:r>
    </w:p>
    <w:p>
      <w:r>
        <w:t>我们从C-BESD数据集中随机选取2,000条儿童语音样本，提取了多个维度的声学参数并计算其统计分布，结果汇总于表2。</w:t>
      </w:r>
    </w:p>
    <w:p>
      <w:r>
        <w:t>表2  儿童语音声学参数的统计分布</w:t>
      </w:r>
    </w:p>
    <w:tbl>
      <w:tblPr>
        <w:tblStyle w:val="LightGrid-Accent1"/>
        <w:tblW w:type="auto" w:w="0"/>
        <w:tblLook w:firstColumn="1" w:firstRow="1" w:lastColumn="0" w:lastRow="0" w:noHBand="0" w:noVBand="1" w:val="04A0"/>
      </w:tblPr>
      <w:tblGrid>
        <w:gridCol w:w="1383"/>
        <w:gridCol w:w="1383"/>
        <w:gridCol w:w="1383"/>
        <w:gridCol w:w="1383"/>
        <w:gridCol w:w="1383"/>
        <w:gridCol w:w="1383"/>
      </w:tblGrid>
      <w:tr>
        <w:tc>
          <w:tcPr>
            <w:tcW w:type="dxa" w:w="1383"/>
          </w:tcPr>
          <w:p>
            <w:pPr>
              <w:jc w:val="center"/>
            </w:pPr>
            <w:r>
              <w:rPr>
                <w:b/>
                <w:sz w:val="20"/>
              </w:rPr>
              <w:t>参数</w:t>
            </w:r>
          </w:p>
        </w:tc>
        <w:tc>
          <w:tcPr>
            <w:tcW w:type="dxa" w:w="1383"/>
          </w:tcPr>
          <w:p>
            <w:pPr>
              <w:jc w:val="center"/>
            </w:pPr>
            <w:r>
              <w:rPr>
                <w:b/>
                <w:sz w:val="20"/>
              </w:rPr>
              <w:t>均值</w:t>
            </w:r>
          </w:p>
        </w:tc>
        <w:tc>
          <w:tcPr>
            <w:tcW w:type="dxa" w:w="1383"/>
          </w:tcPr>
          <w:p>
            <w:pPr>
              <w:jc w:val="center"/>
            </w:pPr>
            <w:r>
              <w:rPr>
                <w:b/>
                <w:sz w:val="20"/>
              </w:rPr>
              <w:t>标准差</w:t>
            </w:r>
          </w:p>
        </w:tc>
        <w:tc>
          <w:tcPr>
            <w:tcW w:type="dxa" w:w="1383"/>
          </w:tcPr>
          <w:p>
            <w:pPr>
              <w:jc w:val="center"/>
            </w:pPr>
            <w:r>
              <w:rPr>
                <w:b/>
                <w:sz w:val="20"/>
              </w:rPr>
              <w:t>P5</w:t>
            </w:r>
          </w:p>
        </w:tc>
        <w:tc>
          <w:tcPr>
            <w:tcW w:type="dxa" w:w="1383"/>
          </w:tcPr>
          <w:p>
            <w:pPr>
              <w:jc w:val="center"/>
            </w:pPr>
            <w:r>
              <w:rPr>
                <w:b/>
                <w:sz w:val="20"/>
              </w:rPr>
              <w:t>P95</w:t>
            </w:r>
          </w:p>
        </w:tc>
        <w:tc>
          <w:tcPr>
            <w:tcW w:type="dxa" w:w="1383"/>
          </w:tcPr>
          <w:p>
            <w:pPr>
              <w:jc w:val="center"/>
            </w:pPr>
            <w:r>
              <w:rPr>
                <w:b/>
                <w:sz w:val="20"/>
              </w:rPr>
              <w:t>说明</w:t>
            </w:r>
          </w:p>
        </w:tc>
      </w:tr>
      <w:tr>
        <w:tc>
          <w:tcPr>
            <w:tcW w:type="dxa" w:w="1383"/>
          </w:tcPr>
          <w:p>
            <w:pPr>
              <w:jc w:val="center"/>
            </w:pPr>
            <w:r>
              <w:rPr>
                <w:sz w:val="20"/>
              </w:rPr>
              <w:t>F0 (Hz)</w:t>
            </w:r>
          </w:p>
        </w:tc>
        <w:tc>
          <w:tcPr>
            <w:tcW w:type="dxa" w:w="1383"/>
          </w:tcPr>
          <w:p>
            <w:pPr>
              <w:jc w:val="center"/>
            </w:pPr>
            <w:r>
              <w:rPr>
                <w:sz w:val="20"/>
              </w:rPr>
              <w:t>495.9</w:t>
            </w:r>
          </w:p>
        </w:tc>
        <w:tc>
          <w:tcPr>
            <w:tcW w:type="dxa" w:w="1383"/>
          </w:tcPr>
          <w:p>
            <w:pPr>
              <w:jc w:val="center"/>
            </w:pPr>
            <w:r>
              <w:rPr>
                <w:sz w:val="20"/>
              </w:rPr>
              <w:t>651.1</w:t>
            </w:r>
          </w:p>
        </w:tc>
        <w:tc>
          <w:tcPr>
            <w:tcW w:type="dxa" w:w="1383"/>
          </w:tcPr>
          <w:p>
            <w:pPr>
              <w:jc w:val="center"/>
            </w:pPr>
            <w:r>
              <w:rPr>
                <w:sz w:val="20"/>
              </w:rPr>
              <w:t>75.3</w:t>
            </w:r>
          </w:p>
        </w:tc>
        <w:tc>
          <w:tcPr>
            <w:tcW w:type="dxa" w:w="1383"/>
          </w:tcPr>
          <w:p>
            <w:pPr>
              <w:jc w:val="center"/>
            </w:pPr>
            <w:r>
              <w:rPr>
                <w:sz w:val="20"/>
              </w:rPr>
              <w:t>2285.7</w:t>
            </w:r>
          </w:p>
        </w:tc>
        <w:tc>
          <w:tcPr>
            <w:tcW w:type="dxa" w:w="1383"/>
          </w:tcPr>
          <w:p>
            <w:pPr>
              <w:jc w:val="center"/>
            </w:pPr>
            <w:r>
              <w:rPr>
                <w:sz w:val="20"/>
              </w:rPr>
              <w:t>基频远高于成人(80-220 Hz)</w:t>
            </w:r>
          </w:p>
        </w:tc>
      </w:tr>
      <w:tr>
        <w:tc>
          <w:tcPr>
            <w:tcW w:type="dxa" w:w="1383"/>
          </w:tcPr>
          <w:p>
            <w:pPr>
              <w:jc w:val="center"/>
            </w:pPr>
            <w:r>
              <w:rPr>
                <w:sz w:val="20"/>
              </w:rPr>
              <w:t>Energy (RMS)</w:t>
            </w:r>
          </w:p>
        </w:tc>
        <w:tc>
          <w:tcPr>
            <w:tcW w:type="dxa" w:w="1383"/>
          </w:tcPr>
          <w:p>
            <w:pPr>
              <w:jc w:val="center"/>
            </w:pPr>
            <w:r>
              <w:rPr>
                <w:sz w:val="20"/>
              </w:rPr>
              <w:t>0.0464</w:t>
            </w:r>
          </w:p>
        </w:tc>
        <w:tc>
          <w:tcPr>
            <w:tcW w:type="dxa" w:w="1383"/>
          </w:tcPr>
          <w:p>
            <w:pPr>
              <w:jc w:val="center"/>
            </w:pPr>
            <w:r>
              <w:rPr>
                <w:sz w:val="20"/>
              </w:rPr>
              <w:t>0.0566</w:t>
            </w:r>
          </w:p>
        </w:tc>
        <w:tc>
          <w:tcPr>
            <w:tcW w:type="dxa" w:w="1383"/>
          </w:tcPr>
          <w:p>
            <w:pPr>
              <w:jc w:val="center"/>
            </w:pPr>
            <w:r>
              <w:rPr>
                <w:sz w:val="20"/>
              </w:rPr>
              <w:t>—</w:t>
            </w:r>
          </w:p>
        </w:tc>
        <w:tc>
          <w:tcPr>
            <w:tcW w:type="dxa" w:w="1383"/>
          </w:tcPr>
          <w:p>
            <w:pPr>
              <w:jc w:val="center"/>
            </w:pPr>
            <w:r>
              <w:rPr>
                <w:sz w:val="20"/>
              </w:rPr>
              <w:t>—</w:t>
            </w:r>
          </w:p>
        </w:tc>
        <w:tc>
          <w:tcPr>
            <w:tcW w:type="dxa" w:w="1383"/>
          </w:tcPr>
          <w:p>
            <w:pPr>
              <w:jc w:val="center"/>
            </w:pPr>
            <w:r>
              <w:rPr>
                <w:sz w:val="20"/>
              </w:rPr>
              <w:t>能量动态范围大</w:t>
            </w:r>
          </w:p>
        </w:tc>
      </w:tr>
      <w:tr>
        <w:tc>
          <w:tcPr>
            <w:tcW w:type="dxa" w:w="1383"/>
          </w:tcPr>
          <w:p>
            <w:pPr>
              <w:jc w:val="center"/>
            </w:pPr>
            <w:r>
              <w:rPr>
                <w:sz w:val="20"/>
              </w:rPr>
              <w:t>Duration (s)</w:t>
            </w:r>
          </w:p>
        </w:tc>
        <w:tc>
          <w:tcPr>
            <w:tcW w:type="dxa" w:w="1383"/>
          </w:tcPr>
          <w:p>
            <w:pPr>
              <w:jc w:val="center"/>
            </w:pPr>
            <w:r>
              <w:rPr>
                <w:sz w:val="20"/>
              </w:rPr>
              <w:t>~2.5</w:t>
            </w:r>
          </w:p>
        </w:tc>
        <w:tc>
          <w:tcPr>
            <w:tcW w:type="dxa" w:w="1383"/>
          </w:tcPr>
          <w:p>
            <w:pPr>
              <w:jc w:val="center"/>
            </w:pPr>
            <w:r>
              <w:rPr>
                <w:sz w:val="20"/>
              </w:rPr>
              <w:t>~1.0</w:t>
            </w:r>
          </w:p>
        </w:tc>
        <w:tc>
          <w:tcPr>
            <w:tcW w:type="dxa" w:w="1383"/>
          </w:tcPr>
          <w:p>
            <w:pPr>
              <w:jc w:val="center"/>
            </w:pPr>
            <w:r>
              <w:rPr>
                <w:sz w:val="20"/>
              </w:rPr>
              <w:t>—</w:t>
            </w:r>
          </w:p>
        </w:tc>
        <w:tc>
          <w:tcPr>
            <w:tcW w:type="dxa" w:w="1383"/>
          </w:tcPr>
          <w:p>
            <w:pPr>
              <w:jc w:val="center"/>
            </w:pPr>
            <w:r>
              <w:rPr>
                <w:sz w:val="20"/>
              </w:rPr>
              <w:t>—</w:t>
            </w:r>
          </w:p>
        </w:tc>
        <w:tc>
          <w:tcPr>
            <w:tcW w:type="dxa" w:w="1383"/>
          </w:tcPr>
          <w:p>
            <w:pPr>
              <w:jc w:val="center"/>
            </w:pPr>
            <w:r>
              <w:rPr>
                <w:sz w:val="20"/>
              </w:rPr>
              <w:t>样本时长分布</w:t>
            </w:r>
          </w:p>
        </w:tc>
      </w:tr>
    </w:tbl>
    <w:p/>
    <w:p>
      <w:r>
        <w:t>（注：精确统计数字待更新）</w:t>
      </w:r>
    </w:p>
    <w:p>
      <w:r>
        <w:t>从表2可以归纳出儿童语音的几个关键特点：（1）高基频：平均基频约496 Hz，远高于成人（典型值80-220 Hz），且个体差异大（标准差651 Hz）；（2）高变异性：语速、能量、基频的标准差都很大，同一儿童在不同情绪下的声学参数波动剧烈；（3）信噪比和录音质量的差异性：不同样本之间存在较大差异。</w:t>
      </w:r>
    </w:p>
    <w:p>
      <w:pPr>
        <w:pStyle w:val="Heading4"/>
      </w:pPr>
      <w:r>
        <w:t>3.2  儿童与成人在预训练模型特征空间中的差异</w:t>
      </w:r>
    </w:p>
    <w:p>
      <w:r>
        <w:t>除声学参数层面的差异外，我们进一步量化了儿童与成人语音在预训练语音模型特征空间中的分布差异。具体方法是：使用冻结的WavLM模型，分别提取2,000条儿童语音（C-BESD训练集）和2,000条成人语音（IEMOCAP）的帧级特征，计算两个分布之间的多维统计差异。</w:t>
      </w:r>
    </w:p>
    <w:p>
      <w:r>
        <w:t>我们使用两类指标来衡量分布差异。第一类是逐维度的均值差（bias）和标准差比值（scale），直观比较儿童和成人在每个特征维度上的"平均水平"和"散布程度"。第二类是分布距离（Frechet Distance, FD），从整体上衡量两个多元高斯分布之间的相似度。</w:t>
      </w:r>
    </w:p>
    <w:p>
      <w:r>
        <w:t>表3  儿童与成人在WavLM特征空间中的分布差异量度</w:t>
      </w:r>
    </w:p>
    <w:tbl>
      <w:tblPr>
        <w:tblStyle w:val="LightGrid-Accent1"/>
        <w:tblW w:type="auto" w:w="0"/>
        <w:tblLook w:firstColumn="1" w:firstRow="1" w:lastColumn="0" w:lastRow="0" w:noHBand="0" w:noVBand="1" w:val="04A0"/>
      </w:tblPr>
      <w:tblGrid>
        <w:gridCol w:w="2767"/>
        <w:gridCol w:w="2767"/>
        <w:gridCol w:w="2767"/>
      </w:tblGrid>
      <w:tr>
        <w:tc>
          <w:tcPr>
            <w:tcW w:type="dxa" w:w="2767"/>
          </w:tcPr>
          <w:p>
            <w:pPr>
              <w:jc w:val="center"/>
            </w:pPr>
            <w:r>
              <w:rPr>
                <w:b/>
                <w:sz w:val="20"/>
              </w:rPr>
              <w:t>指标</w:t>
            </w:r>
          </w:p>
        </w:tc>
        <w:tc>
          <w:tcPr>
            <w:tcW w:type="dxa" w:w="2767"/>
          </w:tcPr>
          <w:p>
            <w:pPr>
              <w:jc w:val="center"/>
            </w:pPr>
            <w:r>
              <w:rPr>
                <w:b/>
                <w:sz w:val="20"/>
              </w:rPr>
              <w:t>数值</w:t>
            </w:r>
          </w:p>
        </w:tc>
        <w:tc>
          <w:tcPr>
            <w:tcW w:type="dxa" w:w="2767"/>
          </w:tcPr>
          <w:p>
            <w:pPr>
              <w:jc w:val="center"/>
            </w:pPr>
            <w:r>
              <w:rPr>
                <w:b/>
                <w:sz w:val="20"/>
              </w:rPr>
              <w:t>说明</w:t>
            </w:r>
          </w:p>
        </w:tc>
      </w:tr>
      <w:tr>
        <w:tc>
          <w:tcPr>
            <w:tcW w:type="dxa" w:w="2767"/>
          </w:tcPr>
          <w:p>
            <w:pPr>
              <w:jc w:val="center"/>
            </w:pPr>
            <w:r>
              <w:rPr>
                <w:sz w:val="20"/>
              </w:rPr>
              <w:t>scale 均值</w:t>
            </w:r>
          </w:p>
        </w:tc>
        <w:tc>
          <w:tcPr>
            <w:tcW w:type="dxa" w:w="2767"/>
          </w:tcPr>
          <w:p>
            <w:pPr>
              <w:jc w:val="center"/>
            </w:pPr>
            <w:r>
              <w:rPr>
                <w:sz w:val="20"/>
              </w:rPr>
              <w:t>1.05</w:t>
            </w:r>
          </w:p>
        </w:tc>
        <w:tc>
          <w:tcPr>
            <w:tcW w:type="dxa" w:w="2767"/>
          </w:tcPr>
          <w:p>
            <w:pPr>
              <w:jc w:val="center"/>
            </w:pPr>
            <w:r>
              <w:rPr>
                <w:sz w:val="20"/>
              </w:rPr>
              <w:t>平均偏离1.0约5%，部分维度偏离&gt;20%</w:t>
            </w:r>
          </w:p>
        </w:tc>
      </w:tr>
      <w:tr>
        <w:tc>
          <w:tcPr>
            <w:tcW w:type="dxa" w:w="2767"/>
          </w:tcPr>
          <w:p>
            <w:pPr>
              <w:jc w:val="center"/>
            </w:pPr>
            <w:r>
              <w:rPr>
                <w:sz w:val="20"/>
              </w:rPr>
              <w:t>bias 均值</w:t>
            </w:r>
          </w:p>
        </w:tc>
        <w:tc>
          <w:tcPr>
            <w:tcW w:type="dxa" w:w="2767"/>
          </w:tcPr>
          <w:p>
            <w:pPr>
              <w:jc w:val="center"/>
            </w:pPr>
            <w:r>
              <w:rPr>
                <w:sz w:val="20"/>
              </w:rPr>
              <w:t>~0</w:t>
            </w:r>
          </w:p>
        </w:tc>
        <w:tc>
          <w:tcPr>
            <w:tcW w:type="dxa" w:w="2767"/>
          </w:tcPr>
          <w:p>
            <w:pPr>
              <w:jc w:val="center"/>
            </w:pPr>
            <w:r>
              <w:rPr>
                <w:sz w:val="20"/>
              </w:rPr>
            </w:r>
          </w:p>
        </w:tc>
      </w:tr>
      <w:tr>
        <w:tc>
          <w:tcPr>
            <w:tcW w:type="dxa" w:w="2767"/>
          </w:tcPr>
          <w:p>
            <w:pPr>
              <w:jc w:val="center"/>
            </w:pPr>
            <w:r>
              <w:rPr>
                <w:sz w:val="20"/>
              </w:rPr>
              <w:t>FD</w:t>
            </w:r>
          </w:p>
        </w:tc>
        <w:tc>
          <w:tcPr>
            <w:tcW w:type="dxa" w:w="2767"/>
          </w:tcPr>
          <w:p>
            <w:pPr>
              <w:jc w:val="center"/>
            </w:pPr>
            <w:r>
              <w:rPr>
                <w:sz w:val="20"/>
              </w:rPr>
              <w:t>0.37</w:t>
            </w:r>
          </w:p>
        </w:tc>
        <w:tc>
          <w:tcPr>
            <w:tcW w:type="dxa" w:w="2767"/>
          </w:tcPr>
          <w:p>
            <w:pPr>
              <w:jc w:val="center"/>
            </w:pPr>
            <w:r>
              <w:rPr>
                <w:sz w:val="20"/>
              </w:rPr>
              <w:t>确认存在可测量的分布偏移</w:t>
            </w:r>
          </w:p>
        </w:tc>
      </w:tr>
    </w:tbl>
    <w:p/>
    <w:p>
      <w:r>
        <w:t>（注：精确数值见 data/adapter_init.npz）</w:t>
      </w:r>
    </w:p>
    <w:p>
      <w:r>
        <w:t>表3的结果确认了一个重要事实：即使使用在大规模成人语音上预训练的WavLM模型，由于成人和儿童声学特性的差异，特征空间对儿童语音仍然存在可测量的"不匹配"。这种分布不匹配不是均匀的——有些特征维度差异大，有些差异小。这意味着，简单的全局平移（全局微调所有维度统一补偿）不够精细，需要逐维度的自适应校准。</w:t>
      </w:r>
    </w:p>
    <w:p>
      <w:pPr>
        <w:jc w:val="center"/>
      </w:pPr>
      <w:r>
        <w:t>────────────────────────────────────────</w:t>
      </w:r>
    </w:p>
    <w:p>
      <w:pPr>
        <w:pStyle w:val="Heading3"/>
      </w:pPr>
      <w:r>
        <w:t>4  基于分布分析的两模块方法</w:t>
      </w:r>
    </w:p>
    <w:p>
      <w:r>
        <w:t>基于第3章的分析结论，本章介绍本文提出的两个技术模块。作为阅读指南，在介绍每个模块之前，先说明需要解决的具体问题，再给出设计思路和实现细节。</w:t>
      </w:r>
    </w:p>
    <w:p>
      <w:pPr>
        <w:pStyle w:val="Heading4"/>
      </w:pPr>
      <w:r>
        <w:t>4.1  总体框架</w:t>
      </w:r>
    </w:p>
    <w:p>
      <w:r>
        <w:t>整体处理流程分为四步：</w:t>
      </w:r>
    </w:p>
    <w:p>
      <w:r>
        <w:t>第一步（特征提取）：将儿童语音送入冻结的WavLM预训练模型。WavLM每20毫秒（即每秒50帧）输出一个768维的特征向量。每段4秒的语音处理后得到200帧×768维的特征矩阵（T=200帧，每帧768维，其中768维是WavLM模型的标准隐藏层维度）。</w:t>
      </w:r>
    </w:p>
    <w:p>
      <w:r>
        <w:t>第二步（帧级校准）：将200帧×768维的特征矩阵送入声学校准适配器（4.2节），对每帧特征进行自适应校准。</w:t>
      </w:r>
    </w:p>
    <w:p>
      <w:r>
        <w:t>第三步（时序融合）：将校准后的帧级特征与韵律信息（基频和能量）一起，通过时序重要性池化（4.3节）加权融合为一个768维的全局语句级特征向量。</w:t>
      </w:r>
    </w:p>
    <w:p>
      <w:r>
        <w:t>第四步（分类）：将768维全局特征送入DrseNet分类器，输出六个情绪类别的概率分布。</w:t>
      </w:r>
    </w:p>
    <w:p>
      <w:r>
        <w:t>此外，在实验章节（5.4节）中，本文通过增强敏感性分析（负面实验）系统考察了波形增强对儿童SER的影响，结论是最终推荐模型不使用波形增强。</w:t>
      </w:r>
    </w:p>
    <w:p>
      <w:pPr>
        <w:pStyle w:val="Heading4"/>
      </w:pPr>
      <w:r>
        <w:t>4.2  模块一：声学校准适配器（Acoustic Calibration Adapter）</w:t>
      </w:r>
    </w:p>
    <w:p>
      <w:r>
        <w:t>需要解决的问题</w:t>
      </w:r>
    </w:p>
    <w:p>
      <w:r>
        <w:t>根据3.2节的分析结论，WavLM特征空间对儿童语音存在偏移，且这种偏移在不同帧（元音帧 vs. 辅音帧 vs. 静音帧）之间不是均匀的。如果直接使用这些有偏移的特征进行分类，效果会打折扣。我们需要一个轻量的机制来"修正"这种偏移。</w:t>
      </w:r>
    </w:p>
    <w:p>
      <w:r>
        <w:t>设计思路</w:t>
      </w:r>
    </w:p>
    <w:p>
      <w:r>
        <w:t>声学校准适配器的核心是一个两阶段的校准结构：</w:t>
      </w:r>
    </w:p>
    <w:p>
      <w:r>
        <w:t>第一阶段（基础校准）：对每一帧的768维特征，逐维度乘以一个可学习的缩放系数（scale），再加上一个可学习的偏置项（bias）。这一步相当于对每个特征维度进行"微调"：scale&gt;1表示增强该维度，scale&lt;1表示抑制该维度。scale和bias各768个参数，合计1,536个参数。</w:t>
      </w:r>
    </w:p>
    <w:p>
      <w:r>
        <w:t>第二阶段（自适应微调）：在第一阶段的基础上，加入一个轻量门控网络（gate network），结构为768→192→768（约30万参数）。门控网络阅读每帧的内容，输出一个调节信号。如果某帧的特征显示"这个维度的偏移特别大"，门控信号就更强；反之就给接近零的调节信号。门控输出以很小的幅度（×0.1）叠加到第一阶段的结果上。</w:t>
      </w:r>
    </w:p>
    <w:p>
      <w:r>
        <w:t>两阶段的设计使得适配器既能进行全局的线性校准（第一阶段），又能根据每帧的具体情况进行非线性微调（第二阶段），同时保持极低的参数量（合计约30万，仅占WavLM模型的0.3%），可以在资源有限的设备上高效运行。</w:t>
      </w:r>
    </w:p>
    <w:p>
      <w:r>
        <w:t>两种初始化方式</w:t>
      </w:r>
    </w:p>
    <w:p>
      <w:r>
        <w:t>适配器支持两种参数初始化方式：（1）统计先验初始化：利用3.2节在儿童和成人数据上分别计算的均值和标准差，直接估算scale和bias的初始值（scale = 成人标准差/儿童标准差，bias = 成人均值 - 儿童均值×scale）；（2）随机初始化：scale初始化为全1向量，bias初始化为全0向量，门控网络随机初始化（Kaiming uniform）。</w:t>
      </w:r>
    </w:p>
    <w:p>
      <w:r>
        <w:t>实验（5.3节）将对两种初始化方式进行消融对比。</w:t>
      </w:r>
    </w:p>
    <w:p>
      <w:pPr>
        <w:pStyle w:val="Heading4"/>
      </w:pPr>
      <w:r>
        <w:t>4.3  模块二：时序重要性池化（Temporal Importance Pooling）</w:t>
      </w:r>
    </w:p>
    <w:p>
      <w:r>
        <w:t>需要解决的问题</w:t>
      </w:r>
    </w:p>
    <w:p>
      <w:r>
        <w:t>根据3.1节的分析结论，儿童语音的语速和音高变化很不均匀。在同一段语音中，情感信息不是均匀分布在每一帧上的。有的帧承载着情感的关键转折（如突然提高音量），有的帧信息量较少（如停顿或过渡段）。简单的均值池化将所有帧平等地取平均，会将这些关键帧的贡献稀释掉。我们需要一种机制，让模型学会"注意"那些更可能包含情感信息的帧。</w:t>
      </w:r>
    </w:p>
    <w:p>
      <w:r>
        <w:t>设计思路</w:t>
      </w:r>
    </w:p>
    <w:p>
      <w:r>
        <w:t>时序重要性池化的基本思路是：不同的帧有不同的重要性，让模型学会"关注"那些更可能包含情感信息的帧。具体实现分为三步：</w:t>
      </w:r>
    </w:p>
    <w:p>
      <w:r>
        <w:t>第一步（韵律特征提取）：对每帧语音，使用信号处理工具（librosa的YIN算法）提取基频（F0，反映音高）和RMS能量（反映响度），将两者拼接为2维韵律特征。基频检测范围设为65~2093 Hz（覆盖儿童的高频范围）。提取后归一化到[0, 1]区间。</w:t>
      </w:r>
    </w:p>
    <w:p>
      <w:r>
        <w:t>第二步（注意力权重计算）：对于每帧，将WavLM特征（768维）和韵律特征（2维，先投影到64维的嵌入空间）拼接为832维（768+64），送入一个小型网络（832→128→1）为每帧输出一个注意力分数。分数越高，表示该帧越可能包含情感关键信息。所有帧的分数经过Softmax归一化得到注意力权重。</w:t>
      </w:r>
    </w:p>
    <w:p>
      <w:r>
        <w:t>第三步（加权求和）：用各帧的注意力权重对WavLM特征进行加权求和，得到一个768维的全局语句级特征。音频突变帧（如音高急剧升高、能量突然增强的帧）获得高权重，过渡帧获得低权重。</w:t>
      </w:r>
    </w:p>
    <w:p>
      <w:r>
        <w:t>与纯粹的基于特征的注意力池化（仅用WavLM特征自身计算权重）相比，本方法显式注入了韵律信息（基频和能量），使得池化过程更加可解释——可以直接可视化哪些帧被模型认为"重要"，而这些帧通常对应着基频或能量的显著变化点。</w:t>
      </w:r>
    </w:p>
    <w:p>
      <w:pPr>
        <w:pStyle w:val="Heading4"/>
      </w:pPr>
      <w:r>
        <w:t>4.4  增强敏感性分析（实验章节）</w:t>
      </w:r>
    </w:p>
    <w:p>
      <w:r>
        <w:t>（本节内容已从方法章节移至实验章节5.4"增强敏感性分析"。此处不再作为方法模块展开。详见5.4节。）</w:t>
      </w:r>
    </w:p>
    <w:p>
      <w:pPr>
        <w:jc w:val="center"/>
      </w:pPr>
      <w:r>
        <w:t>────────────────────────────────────────</w:t>
      </w:r>
    </w:p>
    <w:p>
      <w:pPr>
        <w:pStyle w:val="Heading3"/>
      </w:pPr>
      <w:r>
        <w:t>5  实验与结果</w:t>
      </w:r>
    </w:p>
    <w:p>
      <w:pPr>
        <w:pStyle w:val="Heading4"/>
      </w:pPr>
      <w:r>
        <w:t>5.1  实验设置</w:t>
      </w:r>
    </w:p>
    <w:p>
      <w:r>
        <w:t>模型配置：</w:t>
      </w:r>
    </w:p>
    <w:p>
      <w:r>
        <w:t>- SSL特征提取：WavLM Base模型（微软研究院2022年发布），参数量约94.4M（9400万），全部冻结不参与训练。输入为16 kHz采样率语音，每20毫秒输出一帧768维特征（帧率50Hz）。每段语音统一截取或填充至4秒，对应200帧。</w:t>
      </w:r>
    </w:p>
    <w:p>
      <w:r>
        <w:t>- 声学校准适配器：gate网络结构为768→192→768，中间维度768/4=192，使用ReLU激活和Tanh门控。可训练参数约30万。scale/bias各768维。</w:t>
      </w:r>
    </w:p>
    <w:p>
      <w:r>
        <w:t>- 时序重要性池化：韵律投影网络结构为2→64→64，注意力网络结构为832→128→1。可训练参数约10万。基频提取使用librosa.yin算法，频率范围为65~2093 Hz。</w:t>
      </w:r>
    </w:p>
    <w:p>
      <w:r>
        <w:t>- 分类器DrseNet：三层全连接网络512→256→128→6（六分类），含BatchNorm和Dropout（0.3/0.3/0.2）及SE门控模块。可训练参数约59.3万。</w:t>
      </w:r>
    </w:p>
    <w:p>
      <w:r>
        <w:t>- 整体模型合计可训练参数约100万（Adapter~30万 + Pooling~10万 + DrseNet~59万），而WavLM全部冻结不参与训练（9400万参数）。体现了轻量高效的设计原则。</w:t>
      </w:r>
    </w:p>
    <w:p>
      <w:r>
        <w:t>训练配置：</w:t>
      </w:r>
    </w:p>
    <w:p>
      <w:r>
        <w:t>- 优化器：AdamW，学习率3×10⁻⁴，权重衰减1×10⁻³</w:t>
      </w:r>
    </w:p>
    <w:p>
      <w:r>
        <w:t>- 学习率调度：CosineAnnealingLR（T_max=epochs）</w:t>
      </w:r>
    </w:p>
    <w:p>
      <w:r>
        <w:t>- 损失函数：CrossEntropyLoss with label smoothing (0.1)</w:t>
      </w:r>
    </w:p>
    <w:p>
      <w:r>
        <w:t>- 批量大小：128，训练epochs上限：80，早停耐心值：15</w:t>
      </w:r>
    </w:p>
    <w:p>
      <w:r>
        <w:t>- 验证集用于早停判断和最佳模型选择</w:t>
      </w:r>
    </w:p>
    <w:p>
      <w:r>
        <w:t>- 硬件：NVIDIA RTX 4090D 24GB GPU</w:t>
      </w:r>
    </w:p>
    <w:p>
      <w:r>
        <w:t>- 多种子实验：seed ∈ {42, 123, 456}，报告均值±标准差</w:t>
      </w:r>
    </w:p>
    <w:p>
      <w:pPr>
        <w:ind w:left="567"/>
      </w:pPr>
      <w:r>
        <w:rPr>
          <w:i/>
          <w:sz w:val="20"/>
        </w:rPr>
        <w:t>**⚠️ v5 标注**：以上为历史Phase 3实验配置。数据划分为60/20/20 speaker-independent协议（`split_speakers_3way`）。最终推荐协议为"外部7:3 + 内部val"（`split_speakers_7_3_with_inner_val`），待重跑。</w:t>
      </w:r>
    </w:p>
    <w:p>
      <w:pPr>
        <w:pStyle w:val="Heading4"/>
      </w:pPr>
      <w:r>
        <w:t>5.2  主实验结果</w:t>
      </w:r>
    </w:p>
    <w:p>
      <w:r>
        <w:t>表4  全消融实验结果（60/20/20历史协议，3 seeds）</w:t>
      </w:r>
    </w:p>
    <w:tbl>
      <w:tblPr>
        <w:tblStyle w:val="LightGrid-Accent1"/>
        <w:tblW w:type="auto" w:w="0"/>
        <w:tblLook w:firstColumn="1" w:firstRow="1" w:lastColumn="0" w:lastRow="0" w:noHBand="0" w:noVBand="1" w:val="04A0"/>
      </w:tblPr>
      <w:tblGrid>
        <w:gridCol w:w="1660"/>
        <w:gridCol w:w="1660"/>
        <w:gridCol w:w="1660"/>
        <w:gridCol w:w="1660"/>
        <w:gridCol w:w="1660"/>
      </w:tblGrid>
      <w:tr>
        <w:tc>
          <w:tcPr>
            <w:tcW w:type="dxa" w:w="1660"/>
          </w:tcPr>
          <w:p>
            <w:pPr>
              <w:jc w:val="center"/>
            </w:pPr>
            <w:r>
              <w:rPr>
                <w:b/>
                <w:sz w:val="20"/>
              </w:rPr>
              <w:t>实验</w:t>
            </w:r>
          </w:p>
        </w:tc>
        <w:tc>
          <w:tcPr>
            <w:tcW w:type="dxa" w:w="1660"/>
          </w:tcPr>
          <w:p>
            <w:pPr>
              <w:jc w:val="center"/>
            </w:pPr>
            <w:r>
              <w:rPr>
                <w:b/>
                <w:sz w:val="20"/>
              </w:rPr>
              <w:t>Adapter</w:t>
            </w:r>
          </w:p>
        </w:tc>
        <w:tc>
          <w:tcPr>
            <w:tcW w:type="dxa" w:w="1660"/>
          </w:tcPr>
          <w:p>
            <w:pPr>
              <w:jc w:val="center"/>
            </w:pPr>
            <w:r>
              <w:rPr>
                <w:b/>
                <w:sz w:val="20"/>
              </w:rPr>
              <w:t>Pooling</w:t>
            </w:r>
          </w:p>
        </w:tc>
        <w:tc>
          <w:tcPr>
            <w:tcW w:type="dxa" w:w="1660"/>
          </w:tcPr>
          <w:p>
            <w:pPr>
              <w:jc w:val="center"/>
            </w:pPr>
            <w:r>
              <w:rPr>
                <w:b/>
                <w:sz w:val="20"/>
              </w:rPr>
              <w:t>Val Acc (%)</w:t>
            </w:r>
          </w:p>
        </w:tc>
        <w:tc>
          <w:tcPr>
            <w:tcW w:type="dxa" w:w="1660"/>
          </w:tcPr>
          <w:p>
            <w:pPr>
              <w:jc w:val="center"/>
            </w:pPr>
            <w:r>
              <w:rPr>
                <w:b/>
                <w:sz w:val="20"/>
              </w:rPr>
              <w:t>Test Acc (%)</w:t>
            </w:r>
          </w:p>
        </w:tc>
      </w:tr>
      <w:tr>
        <w:tc>
          <w:tcPr>
            <w:tcW w:type="dxa" w:w="1660"/>
          </w:tcPr>
          <w:p>
            <w:pPr>
              <w:jc w:val="center"/>
            </w:pPr>
            <w:r>
              <w:rPr>
                <w:sz w:val="20"/>
              </w:rPr>
              <w:t>A1 基线</w:t>
            </w:r>
          </w:p>
        </w:tc>
        <w:tc>
          <w:tcPr>
            <w:tcW w:type="dxa" w:w="1660"/>
          </w:tcPr>
          <w:p>
            <w:pPr>
              <w:jc w:val="center"/>
            </w:pPr>
            <w:r>
              <w:rPr>
                <w:sz w:val="20"/>
              </w:rPr>
              <w:t>✗</w:t>
            </w:r>
          </w:p>
        </w:tc>
        <w:tc>
          <w:tcPr>
            <w:tcW w:type="dxa" w:w="1660"/>
          </w:tcPr>
          <w:p>
            <w:pPr>
              <w:jc w:val="center"/>
            </w:pPr>
            <w:r>
              <w:rPr>
                <w:sz w:val="20"/>
              </w:rPr>
              <w:t>mean</w:t>
            </w:r>
          </w:p>
        </w:tc>
        <w:tc>
          <w:tcPr>
            <w:tcW w:type="dxa" w:w="1660"/>
          </w:tcPr>
          <w:p>
            <w:pPr>
              <w:jc w:val="center"/>
            </w:pPr>
            <w:r>
              <w:rPr>
                <w:sz w:val="20"/>
              </w:rPr>
              <w:t>85.68 ± 0.22</w:t>
            </w:r>
          </w:p>
        </w:tc>
        <w:tc>
          <w:tcPr>
            <w:tcW w:type="dxa" w:w="1660"/>
          </w:tcPr>
          <w:p>
            <w:pPr>
              <w:jc w:val="center"/>
            </w:pPr>
            <w:r>
              <w:rPr>
                <w:sz w:val="20"/>
              </w:rPr>
              <w:t>78.34 ± 1.07</w:t>
            </w:r>
          </w:p>
        </w:tc>
      </w:tr>
      <w:tr>
        <w:tc>
          <w:tcPr>
            <w:tcW w:type="dxa" w:w="1660"/>
          </w:tcPr>
          <w:p>
            <w:pPr>
              <w:jc w:val="center"/>
            </w:pPr>
            <w:r>
              <w:rPr>
                <w:sz w:val="20"/>
              </w:rPr>
              <w:t>A2 统计先验</w:t>
            </w:r>
          </w:p>
        </w:tc>
        <w:tc>
          <w:tcPr>
            <w:tcW w:type="dxa" w:w="1660"/>
          </w:tcPr>
          <w:p>
            <w:pPr>
              <w:jc w:val="center"/>
            </w:pPr>
            <w:r>
              <w:rPr>
                <w:sz w:val="20"/>
              </w:rPr>
              <w:t>✓ stat</w:t>
            </w:r>
          </w:p>
        </w:tc>
        <w:tc>
          <w:tcPr>
            <w:tcW w:type="dxa" w:w="1660"/>
          </w:tcPr>
          <w:p>
            <w:pPr>
              <w:jc w:val="center"/>
            </w:pPr>
            <w:r>
              <w:rPr>
                <w:sz w:val="20"/>
              </w:rPr>
              <w:t>mean</w:t>
            </w:r>
          </w:p>
        </w:tc>
        <w:tc>
          <w:tcPr>
            <w:tcW w:type="dxa" w:w="1660"/>
          </w:tcPr>
          <w:p>
            <w:pPr>
              <w:jc w:val="center"/>
            </w:pPr>
            <w:r>
              <w:rPr>
                <w:sz w:val="20"/>
              </w:rPr>
              <w:t>86.32 ± 0.26</w:t>
            </w:r>
          </w:p>
        </w:tc>
        <w:tc>
          <w:tcPr>
            <w:tcW w:type="dxa" w:w="1660"/>
          </w:tcPr>
          <w:p>
            <w:pPr>
              <w:jc w:val="center"/>
            </w:pPr>
            <w:r>
              <w:rPr>
                <w:sz w:val="20"/>
              </w:rPr>
              <w:t>79.25 ± 0.05</w:t>
            </w:r>
          </w:p>
        </w:tc>
      </w:tr>
      <w:tr>
        <w:tc>
          <w:tcPr>
            <w:tcW w:type="dxa" w:w="1660"/>
          </w:tcPr>
          <w:p>
            <w:pPr>
              <w:jc w:val="center"/>
            </w:pPr>
            <w:r>
              <w:rPr>
                <w:sz w:val="20"/>
              </w:rPr>
              <w:t>A2b 随机初始化</w:t>
            </w:r>
          </w:p>
        </w:tc>
        <w:tc>
          <w:tcPr>
            <w:tcW w:type="dxa" w:w="1660"/>
          </w:tcPr>
          <w:p>
            <w:pPr>
              <w:jc w:val="center"/>
            </w:pPr>
            <w:r>
              <w:rPr>
                <w:sz w:val="20"/>
              </w:rPr>
              <w:t>✓ rand</w:t>
            </w:r>
          </w:p>
        </w:tc>
        <w:tc>
          <w:tcPr>
            <w:tcW w:type="dxa" w:w="1660"/>
          </w:tcPr>
          <w:p>
            <w:pPr>
              <w:jc w:val="center"/>
            </w:pPr>
            <w:r>
              <w:rPr>
                <w:sz w:val="20"/>
              </w:rPr>
              <w:t>mean</w:t>
            </w:r>
          </w:p>
        </w:tc>
        <w:tc>
          <w:tcPr>
            <w:tcW w:type="dxa" w:w="1660"/>
          </w:tcPr>
          <w:p>
            <w:pPr>
              <w:jc w:val="center"/>
            </w:pPr>
            <w:r>
              <w:rPr>
                <w:sz w:val="20"/>
              </w:rPr>
              <w:t>86.40 ± 0.55</w:t>
            </w:r>
          </w:p>
        </w:tc>
        <w:tc>
          <w:tcPr>
            <w:tcW w:type="dxa" w:w="1660"/>
          </w:tcPr>
          <w:p>
            <w:pPr>
              <w:jc w:val="center"/>
            </w:pPr>
            <w:r>
              <w:rPr>
                <w:sz w:val="20"/>
              </w:rPr>
              <w:t>79.51 ± 0.74</w:t>
            </w:r>
          </w:p>
        </w:tc>
      </w:tr>
      <w:tr>
        <w:tc>
          <w:tcPr>
            <w:tcW w:type="dxa" w:w="1660"/>
          </w:tcPr>
          <w:p>
            <w:pPr>
              <w:jc w:val="center"/>
            </w:pPr>
            <w:r>
              <w:rPr>
                <w:sz w:val="20"/>
              </w:rPr>
              <w:t>B3 (推荐模型)</w:t>
            </w:r>
          </w:p>
        </w:tc>
        <w:tc>
          <w:tcPr>
            <w:tcW w:type="dxa" w:w="1660"/>
          </w:tcPr>
          <w:p>
            <w:pPr>
              <w:jc w:val="center"/>
            </w:pPr>
            <w:r>
              <w:rPr>
                <w:sz w:val="20"/>
              </w:rPr>
              <w:t>✓ rand</w:t>
            </w:r>
          </w:p>
        </w:tc>
        <w:tc>
          <w:tcPr>
            <w:tcW w:type="dxa" w:w="1660"/>
          </w:tcPr>
          <w:p>
            <w:pPr>
              <w:jc w:val="center"/>
            </w:pPr>
            <w:r>
              <w:rPr>
                <w:sz w:val="20"/>
              </w:rPr>
              <w:t>prosody</w:t>
            </w:r>
          </w:p>
        </w:tc>
        <w:tc>
          <w:tcPr>
            <w:tcW w:type="dxa" w:w="1660"/>
          </w:tcPr>
          <w:p>
            <w:pPr>
              <w:jc w:val="center"/>
            </w:pPr>
            <w:r>
              <w:rPr>
                <w:sz w:val="20"/>
              </w:rPr>
              <w:t>88.52 ± 0.49</w:t>
            </w:r>
          </w:p>
        </w:tc>
        <w:tc>
          <w:tcPr>
            <w:tcW w:type="dxa" w:w="1660"/>
          </w:tcPr>
          <w:p>
            <w:pPr>
              <w:jc w:val="center"/>
            </w:pPr>
            <w:r>
              <w:rPr>
                <w:sz w:val="20"/>
              </w:rPr>
              <w:t>81.24 ± 1.45</w:t>
            </w:r>
          </w:p>
        </w:tc>
      </w:tr>
    </w:tbl>
    <w:p/>
    <w:p>
      <w:r>
        <w:t>模块贡献分析：</w:t>
      </w:r>
    </w:p>
    <w:tbl>
      <w:tblPr>
        <w:tblStyle w:val="LightGrid-Accent1"/>
        <w:tblW w:type="auto" w:w="0"/>
        <w:tblLook w:firstColumn="1" w:firstRow="1" w:lastColumn="0" w:lastRow="0" w:noHBand="0" w:noVBand="1" w:val="04A0"/>
      </w:tblPr>
      <w:tblGrid>
        <w:gridCol w:w="2767"/>
        <w:gridCol w:w="2767"/>
        <w:gridCol w:w="2767"/>
      </w:tblGrid>
      <w:tr>
        <w:tc>
          <w:tcPr>
            <w:tcW w:type="dxa" w:w="2767"/>
          </w:tcPr>
          <w:p>
            <w:pPr>
              <w:jc w:val="center"/>
            </w:pPr>
            <w:r>
              <w:rPr>
                <w:b/>
                <w:sz w:val="20"/>
              </w:rPr>
              <w:t>模块</w:t>
            </w:r>
          </w:p>
        </w:tc>
        <w:tc>
          <w:tcPr>
            <w:tcW w:type="dxa" w:w="2767"/>
          </w:tcPr>
          <w:p>
            <w:pPr>
              <w:jc w:val="center"/>
            </w:pPr>
            <w:r>
              <w:rPr>
                <w:b/>
                <w:sz w:val="20"/>
              </w:rPr>
              <w:t>Test Acc 增量</w:t>
            </w:r>
          </w:p>
        </w:tc>
        <w:tc>
          <w:tcPr>
            <w:tcW w:type="dxa" w:w="2767"/>
          </w:tcPr>
          <w:p>
            <w:pPr>
              <w:jc w:val="center"/>
            </w:pPr>
            <w:r>
              <w:rPr>
                <w:b/>
                <w:sz w:val="20"/>
              </w:rPr>
              <w:t>累积</w:t>
            </w:r>
          </w:p>
        </w:tc>
      </w:tr>
      <w:tr>
        <w:tc>
          <w:tcPr>
            <w:tcW w:type="dxa" w:w="2767"/>
          </w:tcPr>
          <w:p>
            <w:pPr>
              <w:jc w:val="center"/>
            </w:pPr>
            <w:r>
              <w:rPr>
                <w:sz w:val="20"/>
              </w:rPr>
              <w:t>+ WavLM (vs 旧162dim)</w:t>
            </w:r>
          </w:p>
        </w:tc>
        <w:tc>
          <w:tcPr>
            <w:tcW w:type="dxa" w:w="2767"/>
          </w:tcPr>
          <w:p>
            <w:pPr>
              <w:jc w:val="center"/>
            </w:pPr>
            <w:r>
              <w:rPr>
                <w:sz w:val="20"/>
              </w:rPr>
              <w:t>~43pp</w:t>
            </w:r>
          </w:p>
        </w:tc>
        <w:tc>
          <w:tcPr>
            <w:tcW w:type="dxa" w:w="2767"/>
          </w:tcPr>
          <w:p>
            <w:pPr>
              <w:jc w:val="center"/>
            </w:pPr>
            <w:r>
              <w:rPr>
                <w:sz w:val="20"/>
              </w:rPr>
              <w:t>~35% → ~78%</w:t>
            </w:r>
          </w:p>
        </w:tc>
      </w:tr>
      <w:tr>
        <w:tc>
          <w:tcPr>
            <w:tcW w:type="dxa" w:w="2767"/>
          </w:tcPr>
          <w:p>
            <w:pPr>
              <w:jc w:val="center"/>
            </w:pPr>
            <w:r>
              <w:rPr>
                <w:sz w:val="20"/>
              </w:rPr>
              <w:t>+ Adapter (random init)</w:t>
            </w:r>
          </w:p>
        </w:tc>
        <w:tc>
          <w:tcPr>
            <w:tcW w:type="dxa" w:w="2767"/>
          </w:tcPr>
          <w:p>
            <w:pPr>
              <w:jc w:val="center"/>
            </w:pPr>
            <w:r>
              <w:rPr>
                <w:sz w:val="20"/>
              </w:rPr>
              <w:t>+1.17pp</w:t>
            </w:r>
          </w:p>
        </w:tc>
        <w:tc>
          <w:tcPr>
            <w:tcW w:type="dxa" w:w="2767"/>
          </w:tcPr>
          <w:p>
            <w:pPr>
              <w:jc w:val="center"/>
            </w:pPr>
            <w:r>
              <w:rPr>
                <w:sz w:val="20"/>
              </w:rPr>
              <w:t>78.34% → 79.51%</w:t>
            </w:r>
          </w:p>
        </w:tc>
      </w:tr>
      <w:tr>
        <w:tc>
          <w:tcPr>
            <w:tcW w:type="dxa" w:w="2767"/>
          </w:tcPr>
          <w:p>
            <w:pPr>
              <w:jc w:val="center"/>
            </w:pPr>
            <w:r>
              <w:rPr>
                <w:sz w:val="20"/>
              </w:rPr>
              <w:t>+ Prosody Pooling</w:t>
            </w:r>
          </w:p>
        </w:tc>
        <w:tc>
          <w:tcPr>
            <w:tcW w:type="dxa" w:w="2767"/>
          </w:tcPr>
          <w:p>
            <w:pPr>
              <w:jc w:val="center"/>
            </w:pPr>
            <w:r>
              <w:rPr>
                <w:sz w:val="20"/>
              </w:rPr>
              <w:t>+1.73pp</w:t>
            </w:r>
          </w:p>
        </w:tc>
        <w:tc>
          <w:tcPr>
            <w:tcW w:type="dxa" w:w="2767"/>
          </w:tcPr>
          <w:p>
            <w:pPr>
              <w:jc w:val="center"/>
            </w:pPr>
            <w:r>
              <w:rPr>
                <w:sz w:val="20"/>
              </w:rPr>
              <w:t>79.51% → 81.24%</w:t>
            </w:r>
          </w:p>
        </w:tc>
      </w:tr>
      <w:tr>
        <w:tc>
          <w:tcPr>
            <w:tcW w:type="dxa" w:w="2767"/>
          </w:tcPr>
          <w:p>
            <w:pPr>
              <w:jc w:val="center"/>
            </w:pPr>
            <w:r>
              <w:rPr>
                <w:sz w:val="20"/>
              </w:rPr>
              <w:t>总计</w:t>
            </w:r>
          </w:p>
        </w:tc>
        <w:tc>
          <w:tcPr>
            <w:tcW w:type="dxa" w:w="2767"/>
          </w:tcPr>
          <w:p>
            <w:pPr>
              <w:jc w:val="center"/>
            </w:pPr>
            <w:r>
              <w:rPr>
                <w:sz w:val="20"/>
              </w:rPr>
              <w:t>+46.24pp</w:t>
            </w:r>
          </w:p>
        </w:tc>
        <w:tc>
          <w:tcPr>
            <w:tcW w:type="dxa" w:w="2767"/>
          </w:tcPr>
          <w:p>
            <w:pPr>
              <w:jc w:val="center"/>
            </w:pPr>
            <w:r>
              <w:rPr>
                <w:sz w:val="20"/>
              </w:rPr>
              <w:t>~35% → 81.24%</w:t>
            </w:r>
          </w:p>
        </w:tc>
      </w:tr>
    </w:tbl>
    <w:p/>
    <w:p>
      <w:r>
        <w:t>关键发现：</w:t>
      </w:r>
    </w:p>
    <w:p>
      <w:r>
        <w:t>1. WavLM帧级特征是最大提升来源：从162维手工特征mean-pooled的约35%到WavLM帧级特征的78.34%，提升了约43个百分点。这确认了保留时间维度（帧级特征而非均值池化）是正确方向。</w:t>
      </w:r>
    </w:p>
    <w:p>
      <w:r>
        <w:t>2. Adapter有效，初始化方式不重要：统计先验初始化（79.25%）与随机初始化（79.51%）的差距仅0.26pp，在噪声范围内。这说明Adapter的结构本身是收益来源——让模型自己学习校准方向比预设"对齐成人分布"的目标更有效。</w:t>
      </w:r>
    </w:p>
    <w:p>
      <w:r>
        <w:t>3. 韵律引导优于均值池化：韵律引导的时序注意力相比均值池化提升了1.73pp（A2b→B3）。F0和能量的显式注入为注意力提供了情感相关的先验信息。</w:t>
      </w:r>
    </w:p>
    <w:p>
      <w:r>
        <w:t>4. 数据泄露曾虚高约2-3pp：在70/30无独立验证集的旧协议下，由于测试集被用于早停判断，最佳验证准确率达89.19%。修复为三路划分后，严格测试准确率为81.24%，差值为数据泄露导致的乐观偏差。</w:t>
      </w:r>
    </w:p>
    <w:p>
      <w:pPr>
        <w:pStyle w:val="Heading4"/>
      </w:pPr>
      <w:r>
        <w:t>5.3  Adapter初始化消融</w:t>
      </w:r>
    </w:p>
    <w:tbl>
      <w:tblPr>
        <w:tblStyle w:val="LightGrid-Accent1"/>
        <w:tblW w:type="auto" w:w="0"/>
        <w:tblLook w:firstColumn="1" w:firstRow="1" w:lastColumn="0" w:lastRow="0" w:noHBand="0" w:noVBand="1" w:val="04A0"/>
      </w:tblPr>
      <w:tblGrid>
        <w:gridCol w:w="2767"/>
        <w:gridCol w:w="2767"/>
        <w:gridCol w:w="2767"/>
      </w:tblGrid>
      <w:tr>
        <w:tc>
          <w:tcPr>
            <w:tcW w:type="dxa" w:w="2767"/>
          </w:tcPr>
          <w:p>
            <w:pPr>
              <w:jc w:val="center"/>
            </w:pPr>
            <w:r>
              <w:rPr>
                <w:b/>
                <w:sz w:val="20"/>
              </w:rPr>
              <w:t>初始化方式</w:t>
            </w:r>
          </w:p>
        </w:tc>
        <w:tc>
          <w:tcPr>
            <w:tcW w:type="dxa" w:w="2767"/>
          </w:tcPr>
          <w:p>
            <w:pPr>
              <w:jc w:val="center"/>
            </w:pPr>
            <w:r>
              <w:rPr>
                <w:b/>
                <w:sz w:val="20"/>
              </w:rPr>
              <w:t>Val Acc (%)</w:t>
            </w:r>
          </w:p>
        </w:tc>
        <w:tc>
          <w:tcPr>
            <w:tcW w:type="dxa" w:w="2767"/>
          </w:tcPr>
          <w:p>
            <w:pPr>
              <w:jc w:val="center"/>
            </w:pPr>
            <w:r>
              <w:rPr>
                <w:b/>
                <w:sz w:val="20"/>
              </w:rPr>
              <w:t>Test Acc (%)</w:t>
            </w:r>
          </w:p>
        </w:tc>
      </w:tr>
      <w:tr>
        <w:tc>
          <w:tcPr>
            <w:tcW w:type="dxa" w:w="2767"/>
          </w:tcPr>
          <w:p>
            <w:pPr>
              <w:jc w:val="center"/>
            </w:pPr>
            <w:r>
              <w:rPr>
                <w:sz w:val="20"/>
              </w:rPr>
              <w:t>无Adapter (A1)</w:t>
            </w:r>
          </w:p>
        </w:tc>
        <w:tc>
          <w:tcPr>
            <w:tcW w:type="dxa" w:w="2767"/>
          </w:tcPr>
          <w:p>
            <w:pPr>
              <w:jc w:val="center"/>
            </w:pPr>
            <w:r>
              <w:rPr>
                <w:sz w:val="20"/>
              </w:rPr>
              <w:t>85.68</w:t>
            </w:r>
          </w:p>
        </w:tc>
        <w:tc>
          <w:tcPr>
            <w:tcW w:type="dxa" w:w="2767"/>
          </w:tcPr>
          <w:p>
            <w:pPr>
              <w:jc w:val="center"/>
            </w:pPr>
            <w:r>
              <w:rPr>
                <w:sz w:val="20"/>
              </w:rPr>
              <w:t>78.34</w:t>
            </w:r>
          </w:p>
        </w:tc>
      </w:tr>
      <w:tr>
        <w:tc>
          <w:tcPr>
            <w:tcW w:type="dxa" w:w="2767"/>
          </w:tcPr>
          <w:p>
            <w:pPr>
              <w:jc w:val="center"/>
            </w:pPr>
            <w:r>
              <w:rPr>
                <w:sz w:val="20"/>
              </w:rPr>
              <w:t>统计先验 (A2)</w:t>
            </w:r>
          </w:p>
        </w:tc>
        <w:tc>
          <w:tcPr>
            <w:tcW w:type="dxa" w:w="2767"/>
          </w:tcPr>
          <w:p>
            <w:pPr>
              <w:jc w:val="center"/>
            </w:pPr>
            <w:r>
              <w:rPr>
                <w:sz w:val="20"/>
              </w:rPr>
              <w:t>86.32</w:t>
            </w:r>
          </w:p>
        </w:tc>
        <w:tc>
          <w:tcPr>
            <w:tcW w:type="dxa" w:w="2767"/>
          </w:tcPr>
          <w:p>
            <w:pPr>
              <w:jc w:val="center"/>
            </w:pPr>
            <w:r>
              <w:rPr>
                <w:sz w:val="20"/>
              </w:rPr>
              <w:t>79.25</w:t>
            </w:r>
          </w:p>
        </w:tc>
      </w:tr>
      <w:tr>
        <w:tc>
          <w:tcPr>
            <w:tcW w:type="dxa" w:w="2767"/>
          </w:tcPr>
          <w:p>
            <w:pPr>
              <w:jc w:val="center"/>
            </w:pPr>
            <w:r>
              <w:rPr>
                <w:sz w:val="20"/>
              </w:rPr>
              <w:t>随机初始化 (A2b)</w:t>
            </w:r>
          </w:p>
        </w:tc>
        <w:tc>
          <w:tcPr>
            <w:tcW w:type="dxa" w:w="2767"/>
          </w:tcPr>
          <w:p>
            <w:pPr>
              <w:jc w:val="center"/>
            </w:pPr>
            <w:r>
              <w:rPr>
                <w:sz w:val="20"/>
              </w:rPr>
              <w:t>86.40</w:t>
            </w:r>
          </w:p>
        </w:tc>
        <w:tc>
          <w:tcPr>
            <w:tcW w:type="dxa" w:w="2767"/>
          </w:tcPr>
          <w:p>
            <w:pPr>
              <w:jc w:val="center"/>
            </w:pPr>
            <w:r>
              <w:rPr>
                <w:sz w:val="20"/>
              </w:rPr>
              <w:t>79.51</w:t>
            </w:r>
          </w:p>
        </w:tc>
      </w:tr>
    </w:tbl>
    <w:p/>
    <w:p>
      <w:r>
        <w:t>统计先验和随机初始化的效果在噪声范围内等价（gap&lt;0.3pp）。这一"负面结果"对论文论证反而是正面的：它证明了简单的线性补偿（基于全局统计量对齐成人分布）不够，需要让模型通过梯度下降自主学习对分类任务有利的校准方向——而这正是Adapter结构（含门控网络的非线性校准）存在的价值。</w:t>
      </w:r>
    </w:p>
    <w:p>
      <w:pPr>
        <w:pStyle w:val="Heading4"/>
      </w:pPr>
      <w:r>
        <w:t>5.4  增强敏感性分析：分布偏移导致分类退化</w:t>
      </w:r>
    </w:p>
    <w:p>
      <w:r>
        <w:t>（本节即原方案中的"模块三"，现重新定位为实验章节中的负面实验。）</w:t>
      </w:r>
    </w:p>
    <w:p>
      <w:r>
        <w:t>实验目的：本实验的目标不是找到更好的增强方法，而是系统验证一个关键论点——成人SER中常用的数据增强操作直接应用于儿童语音时，会引入分布偏移并破坏情感相关特征。换言之，成人SER的工程经验不可直接迁移到儿童SER。</w:t>
      </w:r>
    </w:p>
    <w:p>
      <w:r>
        <w:t>实验设计：四组配置使用完全相同的模型（WavLM + Adapter + Prosody Pooling + DrseNet），唯一变化的只有训练数据采用的增强策略：</w:t>
      </w:r>
    </w:p>
    <w:tbl>
      <w:tblPr>
        <w:tblStyle w:val="LightGrid-Accent1"/>
        <w:tblW w:type="auto" w:w="0"/>
        <w:tblLook w:firstColumn="1" w:firstRow="1" w:lastColumn="0" w:lastRow="0" w:noHBand="0" w:noVBand="1" w:val="04A0"/>
      </w:tblPr>
      <w:tblGrid>
        <w:gridCol w:w="2075"/>
        <w:gridCol w:w="2075"/>
        <w:gridCol w:w="2075"/>
        <w:gridCol w:w="2075"/>
      </w:tblGrid>
      <w:tr>
        <w:tc>
          <w:tcPr>
            <w:tcW w:type="dxa" w:w="2075"/>
          </w:tcPr>
          <w:p>
            <w:pPr>
              <w:jc w:val="center"/>
            </w:pPr>
            <w:r>
              <w:rPr>
                <w:b/>
                <w:sz w:val="20"/>
              </w:rPr>
              <w:t>配置</w:t>
            </w:r>
          </w:p>
        </w:tc>
        <w:tc>
          <w:tcPr>
            <w:tcW w:type="dxa" w:w="2075"/>
          </w:tcPr>
          <w:p>
            <w:pPr>
              <w:jc w:val="center"/>
            </w:pPr>
            <w:r>
              <w:rPr>
                <w:b/>
                <w:sz w:val="20"/>
              </w:rPr>
              <w:t>Pitch Shift</w:t>
            </w:r>
          </w:p>
        </w:tc>
        <w:tc>
          <w:tcPr>
            <w:tcW w:type="dxa" w:w="2075"/>
          </w:tcPr>
          <w:p>
            <w:pPr>
              <w:jc w:val="center"/>
            </w:pPr>
            <w:r>
              <w:rPr>
                <w:b/>
                <w:sz w:val="20"/>
              </w:rPr>
              <w:t>Time Stretch</w:t>
            </w:r>
          </w:p>
        </w:tc>
        <w:tc>
          <w:tcPr>
            <w:tcW w:type="dxa" w:w="2075"/>
          </w:tcPr>
          <w:p>
            <w:pPr>
              <w:jc w:val="center"/>
            </w:pPr>
            <w:r>
              <w:rPr>
                <w:b/>
                <w:sz w:val="20"/>
              </w:rPr>
              <w:t>说明</w:t>
            </w:r>
          </w:p>
        </w:tc>
      </w:tr>
      <w:tr>
        <w:tc>
          <w:tcPr>
            <w:tcW w:type="dxa" w:w="2075"/>
          </w:tcPr>
          <w:p>
            <w:pPr>
              <w:jc w:val="center"/>
            </w:pPr>
            <w:r>
              <w:rPr>
                <w:sz w:val="20"/>
              </w:rPr>
              <w:t>C1 无增强</w:t>
            </w:r>
          </w:p>
        </w:tc>
        <w:tc>
          <w:tcPr>
            <w:tcW w:type="dxa" w:w="2075"/>
          </w:tcPr>
          <w:p>
            <w:pPr>
              <w:jc w:val="center"/>
            </w:pPr>
            <w:r>
              <w:rPr>
                <w:sz w:val="20"/>
              </w:rPr>
              <w:t>—</w:t>
            </w:r>
          </w:p>
        </w:tc>
        <w:tc>
          <w:tcPr>
            <w:tcW w:type="dxa" w:w="2075"/>
          </w:tcPr>
          <w:p>
            <w:pPr>
              <w:jc w:val="center"/>
            </w:pPr>
            <w:r>
              <w:rPr>
                <w:sz w:val="20"/>
              </w:rPr>
              <w:t>—</w:t>
            </w:r>
          </w:p>
        </w:tc>
        <w:tc>
          <w:tcPr>
            <w:tcW w:type="dxa" w:w="2075"/>
          </w:tcPr>
          <w:p>
            <w:pPr>
              <w:jc w:val="center"/>
            </w:pPr>
            <w:r>
              <w:rPr>
                <w:sz w:val="20"/>
              </w:rPr>
              <w:t>基线，不使用增强</w:t>
            </w:r>
          </w:p>
        </w:tc>
      </w:tr>
      <w:tr>
        <w:tc>
          <w:tcPr>
            <w:tcW w:type="dxa" w:w="2075"/>
          </w:tcPr>
          <w:p>
            <w:pPr>
              <w:jc w:val="center"/>
            </w:pPr>
            <w:r>
              <w:rPr>
                <w:sz w:val="20"/>
              </w:rPr>
              <w:t>C2 成人参数</w:t>
            </w:r>
          </w:p>
        </w:tc>
        <w:tc>
          <w:tcPr>
            <w:tcW w:type="dxa" w:w="2075"/>
          </w:tcPr>
          <w:p>
            <w:pPr>
              <w:jc w:val="center"/>
            </w:pPr>
            <w:r>
              <w:rPr>
                <w:sz w:val="20"/>
              </w:rPr>
              <w:t>±6 semitones</w:t>
            </w:r>
          </w:p>
        </w:tc>
        <w:tc>
          <w:tcPr>
            <w:tcW w:type="dxa" w:w="2075"/>
          </w:tcPr>
          <w:p>
            <w:pPr>
              <w:jc w:val="center"/>
            </w:pPr>
            <w:r>
              <w:rPr>
                <w:sz w:val="20"/>
              </w:rPr>
              <w:t>0.7-1.3</w:t>
            </w:r>
          </w:p>
        </w:tc>
        <w:tc>
          <w:tcPr>
            <w:tcW w:type="dxa" w:w="2075"/>
          </w:tcPr>
          <w:p>
            <w:pPr>
              <w:jc w:val="center"/>
            </w:pPr>
            <w:r>
              <w:rPr>
                <w:sz w:val="20"/>
              </w:rPr>
              <w:t>模拟成人SER常用设置</w:t>
            </w:r>
          </w:p>
        </w:tc>
      </w:tr>
      <w:tr>
        <w:tc>
          <w:tcPr>
            <w:tcW w:type="dxa" w:w="2075"/>
          </w:tcPr>
          <w:p>
            <w:pPr>
              <w:jc w:val="center"/>
            </w:pPr>
            <w:r>
              <w:rPr>
                <w:sz w:val="20"/>
              </w:rPr>
              <w:t>C3 儿童约束</w:t>
            </w:r>
          </w:p>
        </w:tc>
        <w:tc>
          <w:tcPr>
            <w:tcW w:type="dxa" w:w="2075"/>
          </w:tcPr>
          <w:p>
            <w:pPr>
              <w:jc w:val="center"/>
            </w:pPr>
            <w:r>
              <w:rPr>
                <w:sz w:val="20"/>
              </w:rPr>
              <w:t>±3 semitones</w:t>
            </w:r>
          </w:p>
        </w:tc>
        <w:tc>
          <w:tcPr>
            <w:tcW w:type="dxa" w:w="2075"/>
          </w:tcPr>
          <w:p>
            <w:pPr>
              <w:jc w:val="center"/>
            </w:pPr>
            <w:r>
              <w:rPr>
                <w:sz w:val="20"/>
              </w:rPr>
              <w:t>0.85-1.15</w:t>
            </w:r>
          </w:p>
        </w:tc>
        <w:tc>
          <w:tcPr>
            <w:tcW w:type="dxa" w:w="2075"/>
          </w:tcPr>
          <w:p>
            <w:pPr>
              <w:jc w:val="center"/>
            </w:pPr>
            <w:r>
              <w:rPr>
                <w:sz w:val="20"/>
              </w:rPr>
              <w:t>由儿童统计分布约束的参数</w:t>
            </w:r>
          </w:p>
        </w:tc>
      </w:tr>
      <w:tr>
        <w:tc>
          <w:tcPr>
            <w:tcW w:type="dxa" w:w="2075"/>
          </w:tcPr>
          <w:p>
            <w:pPr>
              <w:jc w:val="center"/>
            </w:pPr>
            <w:r>
              <w:rPr>
                <w:sz w:val="20"/>
              </w:rPr>
              <w:t>C4 极端参数</w:t>
            </w:r>
          </w:p>
        </w:tc>
        <w:tc>
          <w:tcPr>
            <w:tcW w:type="dxa" w:w="2075"/>
          </w:tcPr>
          <w:p>
            <w:pPr>
              <w:jc w:val="center"/>
            </w:pPr>
            <w:r>
              <w:rPr>
                <w:sz w:val="20"/>
              </w:rPr>
              <w:t>±12 semitones</w:t>
            </w:r>
          </w:p>
        </w:tc>
        <w:tc>
          <w:tcPr>
            <w:tcW w:type="dxa" w:w="2075"/>
          </w:tcPr>
          <w:p>
            <w:pPr>
              <w:jc w:val="center"/>
            </w:pPr>
            <w:r>
              <w:rPr>
                <w:sz w:val="20"/>
              </w:rPr>
              <w:t>0.5-1.5</w:t>
            </w:r>
          </w:p>
        </w:tc>
        <w:tc>
          <w:tcPr>
            <w:tcW w:type="dxa" w:w="2075"/>
          </w:tcPr>
          <w:p>
            <w:pPr>
              <w:jc w:val="center"/>
            </w:pPr>
            <w:r>
              <w:rPr>
                <w:sz w:val="20"/>
              </w:rPr>
              <w:t>模拟无约束的极端情况</w:t>
            </w:r>
          </w:p>
        </w:tc>
      </w:tr>
    </w:tbl>
    <w:p/>
    <w:p>
      <w:r>
        <w:t>每样本随机应用一种增强（pitch_shift或time_stretch），通过冻结的WavLM提取增强后的SSL特征。同时计算每组增强后特征与原始无增强特征之间的分布距离（Frechet Distance, FD）。</w:t>
      </w:r>
    </w:p>
    <w:p>
      <w:r>
        <w:t>实验结果：</w:t>
      </w:r>
    </w:p>
    <w:tbl>
      <w:tblPr>
        <w:tblStyle w:val="LightGrid-Accent1"/>
        <w:tblW w:type="auto" w:w="0"/>
        <w:tblLook w:firstColumn="1" w:firstRow="1" w:lastColumn="0" w:lastRow="0" w:noHBand="0" w:noVBand="1" w:val="04A0"/>
      </w:tblPr>
      <w:tblGrid>
        <w:gridCol w:w="2075"/>
        <w:gridCol w:w="2075"/>
        <w:gridCol w:w="2075"/>
        <w:gridCol w:w="2075"/>
      </w:tblGrid>
      <w:tr>
        <w:tc>
          <w:tcPr>
            <w:tcW w:type="dxa" w:w="2075"/>
          </w:tcPr>
          <w:p>
            <w:pPr>
              <w:jc w:val="center"/>
            </w:pPr>
            <w:r>
              <w:rPr>
                <w:b/>
                <w:sz w:val="20"/>
              </w:rPr>
              <w:t>配置</w:t>
            </w:r>
          </w:p>
        </w:tc>
        <w:tc>
          <w:tcPr>
            <w:tcW w:type="dxa" w:w="2075"/>
          </w:tcPr>
          <w:p>
            <w:pPr>
              <w:jc w:val="center"/>
            </w:pPr>
            <w:r>
              <w:rPr>
                <w:b/>
                <w:sz w:val="20"/>
              </w:rPr>
              <w:t>FD</w:t>
            </w:r>
          </w:p>
        </w:tc>
        <w:tc>
          <w:tcPr>
            <w:tcW w:type="dxa" w:w="2075"/>
          </w:tcPr>
          <w:p>
            <w:pPr>
              <w:jc w:val="center"/>
            </w:pPr>
            <w:r>
              <w:rPr>
                <w:b/>
                <w:sz w:val="20"/>
              </w:rPr>
              <w:t>Val Acc (%)</w:t>
            </w:r>
          </w:p>
        </w:tc>
        <w:tc>
          <w:tcPr>
            <w:tcW w:type="dxa" w:w="2075"/>
          </w:tcPr>
          <w:p>
            <w:pPr>
              <w:jc w:val="center"/>
            </w:pPr>
            <w:r>
              <w:rPr>
                <w:b/>
                <w:sz w:val="20"/>
              </w:rPr>
              <w:t>vs C1</w:t>
            </w:r>
          </w:p>
        </w:tc>
      </w:tr>
      <w:tr>
        <w:tc>
          <w:tcPr>
            <w:tcW w:type="dxa" w:w="2075"/>
          </w:tcPr>
          <w:p>
            <w:pPr>
              <w:jc w:val="center"/>
            </w:pPr>
            <w:r>
              <w:rPr>
                <w:sz w:val="20"/>
              </w:rPr>
              <w:t>C1 无增强</w:t>
            </w:r>
          </w:p>
        </w:tc>
        <w:tc>
          <w:tcPr>
            <w:tcW w:type="dxa" w:w="2075"/>
          </w:tcPr>
          <w:p>
            <w:pPr>
              <w:jc w:val="center"/>
            </w:pPr>
            <w:r>
              <w:rPr>
                <w:sz w:val="20"/>
              </w:rPr>
              <w:t>0</w:t>
            </w:r>
          </w:p>
        </w:tc>
        <w:tc>
          <w:tcPr>
            <w:tcW w:type="dxa" w:w="2075"/>
          </w:tcPr>
          <w:p>
            <w:pPr>
              <w:jc w:val="center"/>
            </w:pPr>
            <w:r>
              <w:rPr>
                <w:sz w:val="20"/>
              </w:rPr>
              <w:t>86.42</w:t>
            </w:r>
          </w:p>
        </w:tc>
        <w:tc>
          <w:tcPr>
            <w:tcW w:type="dxa" w:w="2075"/>
          </w:tcPr>
          <w:p>
            <w:pPr>
              <w:jc w:val="center"/>
            </w:pPr>
            <w:r>
              <w:rPr>
                <w:sz w:val="20"/>
              </w:rPr>
              <w:t>—</w:t>
            </w:r>
          </w:p>
        </w:tc>
      </w:tr>
      <w:tr>
        <w:tc>
          <w:tcPr>
            <w:tcW w:type="dxa" w:w="2075"/>
          </w:tcPr>
          <w:p>
            <w:pPr>
              <w:jc w:val="center"/>
            </w:pPr>
            <w:r>
              <w:rPr>
                <w:sz w:val="20"/>
              </w:rPr>
              <w:t>C3 儿童约束</w:t>
            </w:r>
          </w:p>
        </w:tc>
        <w:tc>
          <w:tcPr>
            <w:tcW w:type="dxa" w:w="2075"/>
          </w:tcPr>
          <w:p>
            <w:pPr>
              <w:jc w:val="center"/>
            </w:pPr>
            <w:r>
              <w:rPr>
                <w:sz w:val="20"/>
              </w:rPr>
              <w:t>8.71</w:t>
            </w:r>
          </w:p>
        </w:tc>
        <w:tc>
          <w:tcPr>
            <w:tcW w:type="dxa" w:w="2075"/>
          </w:tcPr>
          <w:p>
            <w:pPr>
              <w:jc w:val="center"/>
            </w:pPr>
            <w:r>
              <w:rPr>
                <w:sz w:val="20"/>
              </w:rPr>
              <w:t>66.85</w:t>
            </w:r>
          </w:p>
        </w:tc>
        <w:tc>
          <w:tcPr>
            <w:tcW w:type="dxa" w:w="2075"/>
          </w:tcPr>
          <w:p>
            <w:pPr>
              <w:jc w:val="center"/>
            </w:pPr>
            <w:r>
              <w:rPr>
                <w:sz w:val="20"/>
              </w:rPr>
              <w:t>-19.57pp</w:t>
            </w:r>
          </w:p>
        </w:tc>
      </w:tr>
      <w:tr>
        <w:tc>
          <w:tcPr>
            <w:tcW w:type="dxa" w:w="2075"/>
          </w:tcPr>
          <w:p>
            <w:pPr>
              <w:jc w:val="center"/>
            </w:pPr>
            <w:r>
              <w:rPr>
                <w:sz w:val="20"/>
              </w:rPr>
              <w:t>C2 成人参数</w:t>
            </w:r>
          </w:p>
        </w:tc>
        <w:tc>
          <w:tcPr>
            <w:tcW w:type="dxa" w:w="2075"/>
          </w:tcPr>
          <w:p>
            <w:pPr>
              <w:jc w:val="center"/>
            </w:pPr>
            <w:r>
              <w:rPr>
                <w:sz w:val="20"/>
              </w:rPr>
              <w:t>9.87</w:t>
            </w:r>
          </w:p>
        </w:tc>
        <w:tc>
          <w:tcPr>
            <w:tcW w:type="dxa" w:w="2075"/>
          </w:tcPr>
          <w:p>
            <w:pPr>
              <w:jc w:val="center"/>
            </w:pPr>
            <w:r>
              <w:rPr>
                <w:sz w:val="20"/>
              </w:rPr>
              <w:t>59.51</w:t>
            </w:r>
          </w:p>
        </w:tc>
        <w:tc>
          <w:tcPr>
            <w:tcW w:type="dxa" w:w="2075"/>
          </w:tcPr>
          <w:p>
            <w:pPr>
              <w:jc w:val="center"/>
            </w:pPr>
            <w:r>
              <w:rPr>
                <w:sz w:val="20"/>
              </w:rPr>
              <w:t>-26.91pp</w:t>
            </w:r>
          </w:p>
        </w:tc>
      </w:tr>
      <w:tr>
        <w:tc>
          <w:tcPr>
            <w:tcW w:type="dxa" w:w="2075"/>
          </w:tcPr>
          <w:p>
            <w:pPr>
              <w:jc w:val="center"/>
            </w:pPr>
            <w:r>
              <w:rPr>
                <w:sz w:val="20"/>
              </w:rPr>
              <w:t>C4 极端参数</w:t>
            </w:r>
          </w:p>
        </w:tc>
        <w:tc>
          <w:tcPr>
            <w:tcW w:type="dxa" w:w="2075"/>
          </w:tcPr>
          <w:p>
            <w:pPr>
              <w:jc w:val="center"/>
            </w:pPr>
            <w:r>
              <w:rPr>
                <w:sz w:val="20"/>
              </w:rPr>
              <w:t>11.99</w:t>
            </w:r>
          </w:p>
        </w:tc>
        <w:tc>
          <w:tcPr>
            <w:tcW w:type="dxa" w:w="2075"/>
          </w:tcPr>
          <w:p>
            <w:pPr>
              <w:jc w:val="center"/>
            </w:pPr>
            <w:r>
              <w:rPr>
                <w:sz w:val="20"/>
              </w:rPr>
              <w:t>43.25</w:t>
            </w:r>
          </w:p>
        </w:tc>
        <w:tc>
          <w:tcPr>
            <w:tcW w:type="dxa" w:w="2075"/>
          </w:tcPr>
          <w:p>
            <w:pPr>
              <w:jc w:val="center"/>
            </w:pPr>
            <w:r>
              <w:rPr>
                <w:sz w:val="20"/>
              </w:rPr>
              <w:t>-43.17pp</w:t>
            </w:r>
          </w:p>
        </w:tc>
      </w:tr>
    </w:tbl>
    <w:p/>
    <w:p>
      <w:pPr>
        <w:ind w:left="567"/>
      </w:pPr>
      <w:r>
        <w:rPr>
          <w:i/>
          <w:sz w:val="20"/>
        </w:rPr>
        <w:t>**⚠️ v5 标注**：上表结果为Phase 2单个seed的Val Acc（不是Test Acc），来自旧70/30划分。增强实验尚未使用三路划分（60/20/20或新协议）重跑。FD数值仅在test split上测量。完整实验需在新协议下重跑。</w:t>
      </w:r>
    </w:p>
    <w:p>
      <w:r>
        <w:t>核心发现：</w:t>
      </w:r>
    </w:p>
    <w:p>
      <w:r>
        <w:t>1. 无增强效果最好：所有增强配置均导致显著下降，C1以86.42%的Val Acc排名第一。</w:t>
      </w:r>
    </w:p>
    <w:p>
      <w:r>
        <w:t>2. FD与准确率严格负相关：C4(FD=11.99) &gt; C2(FD=9.87) &gt; C3(FD=8.71) &gt; C1(FD=0)，对应Accuracy严格递减。这一定量关系构成了全文最有说服力的证据链：分布偏移越大 → 分类准确率越低。</w:t>
      </w:r>
    </w:p>
    <w:p>
      <w:r>
        <w:t>3. 即使"合理"参数也不行：C3使用由儿童统计分布约束的参数（±3半音），理论上应在"安全"范围内，但仍下降19.57pp。这说明儿童语音的情感信息对波形操作极度脆弱，仅靠参数约束不够。</w:t>
      </w:r>
    </w:p>
    <w:p>
      <w:r>
        <w:t>4. 成人经验不可迁移：在成人SER中，pitch shift ±6半音和time stretch 0.7-1.3是标配操作。但在儿童语音上，同样的设置（C2）导致近27pp下降。这一发现直接支撑了本文"分布驱动"的核心叙事。</w:t>
      </w:r>
    </w:p>
    <w:p>
      <w:r>
        <w:t>FD vs Accuracy图（assets/figures/fd_vs_accuracy.png）：该图展示了上述四个数据点的严格单调关系，是论文实验章节的核心图表。FD从0增加到11.99的过程中，准确率从86.42%单调降至43.25%。这种单调性赋予了FD作为"分类退化预测指标"的价值。</w:t>
      </w:r>
    </w:p>
    <w:p>
      <w:r>
        <w:t>论文中的定位：本实验不放在方法章节（Method），而放在实验章节（Experiments）。它在SER领域构成了一个罕见的负面实验范式——大多数SER论文只报告"加了某模块提升多少"，而本文通过主动设置退化实验来验证分布偏移假说，这本身构成论文的差异性创新点之一。</w:t>
      </w:r>
    </w:p>
    <w:p>
      <w:r>
        <w:t>对最终模型的含义：最终推荐模型B3不使用任何波形增强。</w:t>
      </w:r>
    </w:p>
    <w:p>
      <w:pPr>
        <w:pStyle w:val="Heading4"/>
      </w:pPr>
      <w:r>
        <w:t>5.5  跨语言迁移实验</w:t>
      </w:r>
    </w:p>
    <w:p>
      <w:r>
        <w:t>实验目的：验证语言偏移作为"分布偏移的极端维度"对儿童SER的影响。如果我们的框架能缓解声学偏移（儿童vs成人），但无法弥合语言偏移（英语vs泰卢固语），这从反面印证了框架的"分布驱动"叙事——即分布偏移是多维度的，语言是比声学更难处理的维度。</w:t>
      </w:r>
    </w:p>
    <w:p>
      <w:r>
        <w:t>实验设计：使用C-BESD数据集的单语言子集。X1：英文训练→泰卢固语测试；X2：泰卢固语训练→英文测试。模型配置：WavLM + Adapter (random init) + Prosody Pooling + DrseNet (B3)。3 seeds。</w:t>
      </w:r>
    </w:p>
    <w:p>
      <w:r>
        <w:t>实验结果：</w:t>
      </w:r>
    </w:p>
    <w:tbl>
      <w:tblPr>
        <w:tblStyle w:val="LightGrid-Accent1"/>
        <w:tblW w:type="auto" w:w="0"/>
        <w:tblLook w:firstColumn="1" w:firstRow="1" w:lastColumn="0" w:lastRow="0" w:noHBand="0" w:noVBand="1" w:val="04A0"/>
      </w:tblPr>
      <w:tblGrid>
        <w:gridCol w:w="2767"/>
        <w:gridCol w:w="2767"/>
        <w:gridCol w:w="2767"/>
      </w:tblGrid>
      <w:tr>
        <w:tc>
          <w:tcPr>
            <w:tcW w:type="dxa" w:w="2767"/>
          </w:tcPr>
          <w:p>
            <w:pPr>
              <w:jc w:val="center"/>
            </w:pPr>
            <w:r>
              <w:rPr>
                <w:b/>
                <w:sz w:val="20"/>
              </w:rPr>
              <w:t>实验</w:t>
            </w:r>
          </w:p>
        </w:tc>
        <w:tc>
          <w:tcPr>
            <w:tcW w:type="dxa" w:w="2767"/>
          </w:tcPr>
          <w:p>
            <w:pPr>
              <w:jc w:val="center"/>
            </w:pPr>
            <w:r>
              <w:rPr>
                <w:b/>
                <w:sz w:val="20"/>
              </w:rPr>
              <w:t>Val Acc (%)</w:t>
            </w:r>
          </w:p>
        </w:tc>
        <w:tc>
          <w:tcPr>
            <w:tcW w:type="dxa" w:w="2767"/>
          </w:tcPr>
          <w:p>
            <w:pPr>
              <w:jc w:val="center"/>
            </w:pPr>
            <w:r>
              <w:rPr>
                <w:b/>
                <w:sz w:val="20"/>
              </w:rPr>
              <w:t>Test Acc (%)</w:t>
            </w:r>
          </w:p>
        </w:tc>
      </w:tr>
      <w:tr>
        <w:tc>
          <w:tcPr>
            <w:tcW w:type="dxa" w:w="2767"/>
          </w:tcPr>
          <w:p>
            <w:pPr>
              <w:jc w:val="center"/>
            </w:pPr>
            <w:r>
              <w:rPr>
                <w:sz w:val="20"/>
              </w:rPr>
              <w:t>X1 English→Telugu</w:t>
            </w:r>
          </w:p>
        </w:tc>
        <w:tc>
          <w:tcPr>
            <w:tcW w:type="dxa" w:w="2767"/>
          </w:tcPr>
          <w:p>
            <w:pPr>
              <w:jc w:val="center"/>
            </w:pPr>
            <w:r>
              <w:rPr>
                <w:sz w:val="20"/>
              </w:rPr>
              <w:t>86.86 ± 0.60</w:t>
            </w:r>
          </w:p>
        </w:tc>
        <w:tc>
          <w:tcPr>
            <w:tcW w:type="dxa" w:w="2767"/>
          </w:tcPr>
          <w:p>
            <w:pPr>
              <w:jc w:val="center"/>
            </w:pPr>
            <w:r>
              <w:rPr>
                <w:sz w:val="20"/>
              </w:rPr>
              <w:t>19.68 ± 0.45</w:t>
            </w:r>
          </w:p>
        </w:tc>
      </w:tr>
      <w:tr>
        <w:tc>
          <w:tcPr>
            <w:tcW w:type="dxa" w:w="2767"/>
          </w:tcPr>
          <w:p>
            <w:pPr>
              <w:jc w:val="center"/>
            </w:pPr>
            <w:r>
              <w:rPr>
                <w:sz w:val="20"/>
              </w:rPr>
              <w:t>X2 Telugu→English</w:t>
            </w:r>
          </w:p>
        </w:tc>
        <w:tc>
          <w:tcPr>
            <w:tcW w:type="dxa" w:w="2767"/>
          </w:tcPr>
          <w:p>
            <w:pPr>
              <w:jc w:val="center"/>
            </w:pPr>
            <w:r>
              <w:rPr>
                <w:sz w:val="20"/>
              </w:rPr>
              <w:t>89.03 ± 0.35</w:t>
            </w:r>
          </w:p>
        </w:tc>
        <w:tc>
          <w:tcPr>
            <w:tcW w:type="dxa" w:w="2767"/>
          </w:tcPr>
          <w:p>
            <w:pPr>
              <w:jc w:val="center"/>
            </w:pPr>
            <w:r>
              <w:rPr>
                <w:sz w:val="20"/>
              </w:rPr>
              <w:t>28.15 ± 0.38</w:t>
            </w:r>
          </w:p>
        </w:tc>
      </w:tr>
    </w:tbl>
    <w:p/>
    <w:p>
      <w:r>
        <w:t>对比：混合语言B3 Test = 81.24% ± 1.45%</w:t>
      </w:r>
    </w:p>
    <w:p>
      <w:r>
        <w:t>核心发现：语言偏移导致分类几乎完全失效（X1的Test Acc仅比随机高约3pp）。训练时的验证准确率（86-89%）与测试准确率（20-28%）之间存在60+pp的鸿沟——这是典型的分布外（out-of-distribution）泛化失败。适配器和韵律池化能在同语言内校准声学偏移，但不足以弥合跨语言的分布差异。语言偏移是比声学偏移更严重的维度，验证了"分布偏移是多维度的"这一观点。</w:t>
      </w:r>
    </w:p>
    <w:p>
      <w:pPr>
        <w:jc w:val="center"/>
      </w:pPr>
      <w:r>
        <w:t>────────────────────────────────────────</w:t>
      </w:r>
    </w:p>
    <w:p>
      <w:pPr>
        <w:pStyle w:val="Heading3"/>
      </w:pPr>
      <w:r>
        <w:t>6  相关工作</w:t>
      </w:r>
    </w:p>
    <w:p>
      <w:r>
        <w:t>（保留v4内容，待补充更新）</w:t>
      </w:r>
    </w:p>
    <w:p>
      <w:pPr>
        <w:jc w:val="center"/>
      </w:pPr>
      <w:r>
        <w:t>────────────────────────────────────────</w:t>
      </w:r>
    </w:p>
    <w:p>
      <w:pPr>
        <w:pStyle w:val="Heading3"/>
      </w:pPr>
      <w:r>
        <w:t>7  结论与展望</w:t>
      </w:r>
    </w:p>
    <w:p>
      <w:r>
        <w:t>本文从"分布偏移"的视角重新审视了儿童语音情绪识别问题。通过定量分析儿童与成人在声学层面和预训练模型特征空间中的分布差异，本文设计并验证了两个轻量技术模块——声学校准适配器和韵律引导时序池化，以及通过增强敏感性分析验证了分布偏移与分类退化之间的定量关联。</w:t>
      </w:r>
    </w:p>
    <w:p>
      <w:r>
        <w:t>主要结论如下：</w:t>
      </w:r>
    </w:p>
    <w:p>
      <w:r>
        <w:t>1. WavLM帧级特征是最大提升来源：从传统手工特征均值池化（~35%）到WavLM帧级特征（~78%），约43pp的提升来自特征表示的质变，确认了保留时间维度的绝对必要性。</w:t>
      </w:r>
    </w:p>
    <w:p>
      <w:r>
        <w:t>2. Adapter和Prosody Pooling提供额外稳定增益：两个模块合计在严格测试上带来约2.9pp的提升（78.34%→81.24%），且轻量（合计~100万可训参数），高效（无需微调WavLM的9400万参数）。</w:t>
      </w:r>
    </w:p>
    <w:p>
      <w:r>
        <w:t>3. 增强敏感性分析揭示了重要的"不可迁移"原则：成人SER标配的数据增强直接应用于儿童语音会导致严重的分布偏移和分类退化（FD与准确率严格负相关）。最终推荐模型不使用波形增强。这一发现对儿童SER的工程实践具有直接的指导意义。</w:t>
      </w:r>
    </w:p>
    <w:p>
      <w:r>
        <w:t>4. 跨语言迁移显示语言偏移仍是未解决问题：同语言内81.24% vs 跨语言最高28.15%的差距，说明当前方法在弥合语言级分布偏移方面能力有限，这是未来工作的重要方向。</w:t>
      </w:r>
    </w:p>
    <w:p>
      <w:r>
        <w:t>5. 实验严谨性值得重视：本文从发现数据泄露（70/30无验证集、adapter_init含测试集信息），到实施speaker-independent三路划分（train/val/test互斥），再到记录padding mask等隐性限制，形成了一套完整的实验严谨性保障流程。</w:t>
      </w:r>
    </w:p>
    <w:p>
      <w:r>
        <w:t>待完善事项（v5标注）：</w:t>
      </w:r>
    </w:p>
    <w:p>
      <w:r>
        <w:t>- 当前所有实验数值基于60/20/20历史协议，需切换至"外部7:3 + 内部val"最终协议后重跑验证</w:t>
      </w:r>
    </w:p>
    <w:p>
      <w:r>
        <w:t>- Padding mask支持（当前零填充帧参与池化计算，可能轻微影响结果）</w:t>
      </w:r>
    </w:p>
    <w:p>
      <w:r>
        <w:t>- 更全面的跨语言评估和多数据集验证</w:t>
      </w:r>
    </w:p>
    <w:p>
      <w:pPr>
        <w:jc w:val="center"/>
      </w:pPr>
      <w:r>
        <w:t>────────────────────────────────────────</w:t>
      </w:r>
    </w:p>
    <w:p>
      <w:pPr>
        <w:pStyle w:val="Heading3"/>
      </w:pPr>
      <w:r>
        <w:t>参考文献</w:t>
      </w:r>
    </w:p>
    <w:p>
      <w:r>
        <w:t>（保留v4内容，待补充更新）</w:t>
      </w:r>
    </w:p>
    <w:p>
      <w:pPr>
        <w:jc w:val="center"/>
      </w:pPr>
      <w:r>
        <w:t>────────────────────────────────────────</w:t>
      </w:r>
    </w:p>
    <w:p>
      <w:pPr>
        <w:ind w:left="567"/>
      </w:pPr>
      <w:r>
        <w:rPr>
          <w:i/>
          <w:sz w:val="20"/>
        </w:rPr>
        <w:t>**版本记录**：</w:t>
        <w:br/>
        <w:t>- v1-v3: 初始版本，三模块框架</w:t>
        <w:br/>
        <w:t>- v4 (2026-04-30): 第三版完整论文，加入跨语言迁移和emotion2vec+内容</w:t>
        <w:br/>
        <w:t>- **v5 (2026-05-03): 重大修订** — 数据划分协议改为外部7:3+内部val；模块3从方法章移至实验章（增强敏感性分析）；A3降级（非真full fine-tune）；B2删除（非真self-attention）；最终推荐模型统一为B3（81.24%）；所有实验数值标注历史协议</w:t>
      </w:r>
    </w:p>
    <w:sectPr w:rsidR="00FC693F" w:rsidRPr="0006063C" w:rsidSect="00034616">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420"/>
    </w:pPr>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