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B8A9C">
      <w:pPr>
        <w:pStyle w:val="4"/>
      </w:pPr>
      <w:r>
        <w:t>基于韵律引导时序注意力的儿童语音情绪识别研究</w:t>
      </w:r>
    </w:p>
    <w:p w14:paraId="5A41286B">
      <w:pPr>
        <w:ind w:left="567"/>
      </w:pPr>
      <w:r>
        <w:rPr>
          <w:i/>
          <w:sz w:val="20"/>
        </w:rPr>
        <w:t>v7 中文版 | 2026-05-04 | 目标会议：INTERSPEECH 2027 / ICASSP 2027</w:t>
      </w:r>
    </w:p>
    <w:p w14:paraId="692E9BA8">
      <w:pPr>
        <w:pStyle w:val="5"/>
      </w:pPr>
      <w:r>
        <w:t>摘要</w:t>
      </w:r>
    </w:p>
    <w:p w14:paraId="7820C325">
      <w:r>
        <w:t>儿童语音情绪识别（SER）在自监督预训练（SSL）模型时代仍然远落后于成人 SER。本文以 C-BESD 双语儿童数据集为核心，研究冻结 SSL 表征在严格说话人独立评估下面对的分布偏移问题。据我们所知，本文是首个在 C-BESD 上系统评估冻结 SSL 表征、严格说话人独立划分与儿童 SER 的工作。我们分析了三类分布偏移——年龄（儿童 vs 成人）、数据增强（原始 vs 扰动）和语言（英语 vs 泰卢固语）——并使用 Fréchet 距离（FD）对其进行量化，观察到 FD 与准确率退化之间的一致单调趋势。基于儿童语音情绪信息时间分布不均的观察，我们提出了一种轻量的韵律引导时序池化方法，在 C-BESD 上达到 80.9% WA / 80.8% UAR（3 seeds, 均值±标准差）。跨数据集对比显示，韵律池化对儿童指定表达语音增益最大（+2.24 个百分点），对成人指定表达语音有较小增益（CREMA-D: +0.75 个百分点），但对成人自然对话语音效果为负（IEMOCAP 6 类: −2.12 个百分点，但在 IEMOCAP 4 类子集上转为 +1.02 个百分点，提示该负向效果主要由 DISGUST 和 FEAR 两个难类驱动，而非"自然对话"本身）。逐类注意力分析（探索性）显示注意力熵与准确率呈负相关趋势（p=0.30 未见统计显著）。所有实验均采用严格的说话人独立划分与多种子验证。</w:t>
      </w:r>
    </w:p>
    <w:p w14:paraId="15007BE6">
      <w:r>
        <w:t>关键词：儿童语音情绪识别；韵律引导池化；分布偏移；Fréchet 距离；自监督预训练模型</w:t>
      </w:r>
    </w:p>
    <w:p w14:paraId="7B432718">
      <w:pPr>
        <w:pStyle w:val="5"/>
      </w:pPr>
      <w:bookmarkStart w:id="0" w:name="_GoBack"/>
      <w:bookmarkEnd w:id="0"/>
      <w:r>
        <w:t>1. 引言</w:t>
      </w:r>
    </w:p>
    <w:p w14:paraId="3B30DB27">
      <w:r>
        <w:t>语音情绪识别（SER）在 WavLM、HuBERT、wav2vec 2.0 等大规模 SSL 模型的推动下取得了长足进步。然而，这些进步几乎完全局限于成人语音领域。据我们所知，尚无已发表工作在严格的说话人独立评估下将冻结 SSL 表征与儿童 SER 结合。现有儿童 SER 研究主要使用传统手工特征和浅层分类器 [5]，或探索成人到儿童的跨年龄迁移但不使用现代 SSL 骨干 [6]。成人 SER 中 SSL 模型已成标配 [1,2]，但这一技术路线尚未进入儿童语音领域。</w:t>
      </w:r>
    </w:p>
    <w:p w14:paraId="4C8A34AA">
      <w:r>
        <w:t>儿童语音的声学特性与成人存在根本性差异——以 C-BESD 训练集为例，儿童 F0 中位数约 340 Hz（范围主要分布在 137–2286 Hz，均值受 YIN 检测上限 artifact 影响偏高），远高于典型成人 F0（中位数约 120–200 Hz）；韵律变异性更大；情绪信息的时间分布模式不同。这些差异造成了分布偏移，使得在成人语音上预训练的 SSL 模型直接应用于儿童时性能下降。本文的核心问题是：冻结 SSL 表征在儿童 SER 中面对哪些分布偏移？这些偏移如何影响分类性能？能否用一个统一框架来量化和理解这些影响？</w:t>
      </w:r>
    </w:p>
    <w:p w14:paraId="4B6FA15A">
      <w:r>
        <w:t>围绕这一问题，本文的贡献分为三个层面：</w:t>
      </w:r>
    </w:p>
    <w:p w14:paraId="0EA39FEB">
      <w:r>
        <w:t>分布偏移分析：我们使用 Fréchet 距离（FD）量化了三类分布偏移——年龄（儿童 vs 成人）、数据增强（原始 vs 扰动后）和语言（英语 vs 泰卢固语）。在观察到的三个维度上，FD 与分类准确率退化之间表现出一致的单调趋势，提示 FD 可作为分布偏移风险指标。</w:t>
      </w:r>
    </w:p>
    <w:p w14:paraId="081A238A">
      <w:r>
        <w:t>方法响应：基于对儿童语音情绪信息时间分布不均的观察，我们提出了一种轻量的韵律引导时序池化方法——利用帧级基频（F0）和能量引导 attention 加权，替代传统均值池化。在 C-BESD 上达到 80.9% WA / 80.8% UAR。</w:t>
      </w:r>
    </w:p>
    <w:p w14:paraId="576CD8A5">
      <w:r>
        <w:t>跨数据集边界分析：在三数据集对比中（C-BESD 儿童指定表达、CREMA-D 成人指定表达、IEMOCAP 成人自然对话），韵律池化的增益与说话人年龄和情绪产生方式两个因素相关——儿童指定表达 +2.24 个百分点，成人指定表达 +0.75 个百分点，成人自然对话 −2.12 个百分点。逐类注意力分析显示注意力熵与分类准确率呈负相关趋势，为机制提供了初步解释。</w:t>
      </w:r>
    </w:p>
    <w:p w14:paraId="60BE4089">
      <w:pPr>
        <w:pStyle w:val="5"/>
      </w:pPr>
      <w:r>
        <w:t>2. 相关工作</w:t>
      </w:r>
    </w:p>
    <w:p w14:paraId="2C41E344">
      <w:pPr>
        <w:pStyle w:val="6"/>
      </w:pPr>
      <w:r>
        <w:t>2.1 成人 SER 中的 SSL 模型</w:t>
      </w:r>
    </w:p>
    <w:p w14:paraId="59E06F52">
      <w:r>
        <w:t>WavLM [1]、HuBERT 和 wav2vec 2.0 已成为成人 SER 的标准骨干网络。INTERSPEECH 2025 的 SER 挑战赛吸引了 93 支队伍，全部使用 SSL 基础模型。然而，这些系统均未在儿童语音上进行评估。在严格的可比条件下——冻结 SSL 骨干 + 说话人独立划分——Kakouros 等人 [2] 使用 attentive correlation pooling 在 IEMOCAP 四类情感上达到 75.6% WA。Phukan 等人 [3] 对比了 8 种冻结预训练嵌入在 CREMA-D 等数据集上的线性探测性能。</w:t>
      </w:r>
    </w:p>
    <w:p w14:paraId="79FADF7B">
      <w:pPr>
        <w:pStyle w:val="6"/>
      </w:pPr>
      <w:r>
        <w:t>2.2 儿童语音处理</w:t>
      </w:r>
    </w:p>
    <w:p w14:paraId="5DE4D35C">
      <w:r>
        <w:t>SSL 模型已在儿童 ASR 任务中得到系统基准测试 [4]，但在情绪识别方面仍是空白。C-BESD 数据集于 2024 年由 Rao 等人 [5] 引入，报告了 76% 的 MFCC+CNN 基线，但评估方法学（是否存在说话人重叠）尚不明确。Lesyk 等人 [6] 探索了成人到儿童的情绪模型迁移，在 FAU-AIBO 上取得 F-score 0.47，但未使用现代 SSL 模型。</w:t>
      </w:r>
    </w:p>
    <w:p w14:paraId="6D16E240">
      <w:pPr>
        <w:pStyle w:val="6"/>
      </w:pPr>
      <w:r>
        <w:t>2.3 SER 中的分布偏移</w:t>
      </w:r>
    </w:p>
    <w:p w14:paraId="1482825E">
      <w:r>
        <w:t>最近的 ICASSP 2026 论文 [7] 涉及 SER 的测试时自适应和域偏移处理，表明这一方向正受到关注。我们的 FD 框架通过为儿童 SER 提供定量的偏移维度分类学，为这一研究方向做出贡献。</w:t>
      </w:r>
    </w:p>
    <w:p w14:paraId="182C6A72">
      <w:pPr>
        <w:pStyle w:val="5"/>
      </w:pPr>
      <w:r>
        <w:t>3. 方法</w:t>
      </w:r>
    </w:p>
    <w:p w14:paraId="5756B31D">
      <w:pPr>
        <w:pStyle w:val="6"/>
      </w:pPr>
      <w:r>
        <w:t>3.1 总体框架</w:t>
      </w:r>
    </w:p>
    <w:p w14:paraId="1FA69763">
      <w:r>
        <w:t>处理流程：WavLM（冻结）→ 韵律池化 → SEMLP 分类器</w:t>
      </w:r>
    </w:p>
    <w:p w14:paraId="5E168EF3">
      <w:r>
        <w:t>WavLM 以 50Hz 帧率提取 768 维帧级特征。韵律引导时序重要性池化根据每帧的 F0 和能量内容赋予注意力权重。SEMLP（Squeeze-Excitation MLP，约 59 万参数）将池化后的全局向量分类为 6 种情绪。</w:t>
      </w:r>
    </w:p>
    <w:p w14:paraId="7252144C">
      <w:pPr>
        <w:pStyle w:val="6"/>
      </w:pPr>
      <w:r>
        <w:t>3.2 韵律引导时序重要性池化</w:t>
      </w:r>
    </w:p>
    <w:p w14:paraId="7FA003C3">
      <w:r>
        <w:t>对时刻 t 的每一帧，使用 YIN 算法提取 F0（65—2093 Hz，覆盖儿童高频范围）和 RMS 能量。将 2 维韵律特征投影到 64 维嵌入空间，与 768 维 SSL 特征拼接为 832 维，经过两层 MLP（832→128→1）输出每帧的标量注意力分数。在时间轴上做 softmax 归一化后，用注意力权重对 SSL 特征做加权求和得到全局向量。</w:t>
      </w:r>
    </w:p>
    <w:p w14:paraId="354D8636">
      <w:r>
        <w:t>核心设计选择是将韵律信息显式注入注意力机制，而非让模型纯粹从 SSL 特征中学习注意力。这引导模型基于韵律内容关注帧——儿童语音的情绪信息正集中在这些帧上。输入前对 F0 和 energy 分别归一化到 [0, 1] 区间。</w:t>
      </w:r>
    </w:p>
    <w:p w14:paraId="0457E910">
      <w:pPr>
        <w:pStyle w:val="6"/>
      </w:pPr>
      <w:r>
        <w:t>3.3 分布偏移测量</w:t>
      </w:r>
    </w:p>
    <w:p w14:paraId="1B6BF1BE">
      <w:r>
        <w:t>使用 Fréchet 距离量化两个域 SSL 特征分布之间的差异：</w:t>
      </w:r>
    </w:p>
    <w:p w14:paraId="0A69A9AD">
      <w:r>
        <w:t>FD = ||μ₁ − μ₂||² + Tr(Σ₁ + Σ₂ − 2(Σ₁Σ₂)^½)</w:t>
      </w:r>
    </w:p>
    <w:p w14:paraId="5E2A3CD9">
      <w:r>
        <w:t>FD 越低表示分布越相似。本文计算三个维度的 FD：FD_age（儿童 vs 成人）、FD_aug（clean vs 增强后）、FD_lang（英语 vs 泰卢固语）。</w:t>
      </w:r>
    </w:p>
    <w:p w14:paraId="2BEF7BEF">
      <w:pPr>
        <w:pStyle w:val="5"/>
      </w:pPr>
      <w:r>
        <w:t>4. 实验</w:t>
      </w:r>
    </w:p>
    <w:p w14:paraId="559C1EB7">
      <w:pPr>
        <w:pStyle w:val="6"/>
      </w:pPr>
      <w:r>
        <w:t>4.1 实验设置</w:t>
      </w:r>
    </w:p>
    <w:p w14:paraId="10F31224">
      <w:r>
        <w:t>数据集：C-BESD（6—12 岁儿童，英语+泰卢固语，</w:t>
      </w:r>
      <w:r>
        <w:rPr>
          <w:rFonts w:hint="eastAsia" w:eastAsia="宋体"/>
          <w:lang w:val="en-US" w:eastAsia="zh-CN"/>
        </w:rPr>
        <w:t>说话人</w:t>
      </w:r>
      <w:r>
        <w:t>按要求表达指定情绪，6 类，4,179 条）[5]、IEMOCAP（成人</w:t>
      </w:r>
      <w:r>
        <w:rPr>
          <w:rFonts w:hint="eastAsia" w:eastAsia="宋体"/>
          <w:lang w:val="en-US" w:eastAsia="zh-CN"/>
        </w:rPr>
        <w:t>对话</w:t>
      </w:r>
      <w:r>
        <w:t>，即兴双人对话中自然产生情绪，6 类，9,903 条）、CREMA-D（成人</w:t>
      </w:r>
      <w:r>
        <w:rPr>
          <w:rFonts w:hint="eastAsia" w:eastAsia="宋体"/>
          <w:lang w:val="en-US" w:eastAsia="zh-CN"/>
        </w:rPr>
        <w:t>对话</w:t>
      </w:r>
      <w:r>
        <w:t>，按脚本表达指定情绪，6 类，7,442 条）。IEMOCAP 原始标签以 10 类标注，本文采用 excite→HAPPY、frustration→ANGER 的 6 类映射方案，与标准 4 类评估（Anger/Happy/Sad/Neutral）不完全可比。</w:t>
      </w:r>
    </w:p>
    <w:p w14:paraId="1D643628">
      <w:r>
        <w:t>划分协议：严格说话人独立：外部 8:2 trainval/test + 内部 val，最终约 6:2:2。测试集全程隔离，仅在最终评估时使用一次。Adapter 统计先验仅从训练说话人计算。三种子（42, 123, 456），报告均值±标准差。</w:t>
      </w:r>
    </w:p>
    <w:p w14:paraId="7A8A5BA8">
      <w:r>
        <w:t>模型配置：WavLM-base-sv（9,400 万，冻结）。韵律池化（约 1 万参数）。SEMLP 分类器（约 59 万参数）。总可训练参数约 60 万。AdamW（lr=3e-4, wd=1e-3），余弦退火调度，标签平滑 0.1，批大小 128，早停耐心值 15。</w:t>
      </w:r>
    </w:p>
    <w:p w14:paraId="1A14ACDA">
      <w:r>
        <w:t>评价指标：SER 领域的标准主指标为未加权平均召回率（UAR, Unweighted Average Recall），即各类别召回率的算术平均，不受类别不均衡影响。同时报告加权准确率（WA, Weighted Accuracy），即常规总体准确率。C-BESD 类别均衡（WA ≈ UAR），CREMA-D 和 IEMOCAP 同时报告两者。所有差值以 percentage points 表示。</w:t>
      </w:r>
    </w:p>
    <w:p w14:paraId="4F44AA19">
      <w:pPr>
        <w:ind w:left="567"/>
      </w:pPr>
      <w:r>
        <w:rPr>
          <w:i/>
          <w:sz w:val="20"/>
        </w:rPr>
        <w:t>**关于绝对准确率的说明**：本文报告的准确率低于一些已发表的成人 SER 结果。这是有意为之：我们使用（1）严格冻结的 SSL 骨干（不微调），（2）严格的说话人独立划分，（3）完整的 6 类评估。在可比条件下——冻结特征 + 说话人独立划分——本文结果与先前工作一致 [2, 3]。文献中常见的较高数字（如 CREMA-D 上 96%）通常涉及骨干微调、非说话人独立的随机划分或简化的类别集。</w:t>
      </w:r>
    </w:p>
    <w:p w14:paraId="050150BD">
      <w:pPr>
        <w:pStyle w:val="6"/>
      </w:pPr>
      <w:r>
        <w:t>4.2 C-BESD 主实验结果</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767"/>
        <w:gridCol w:w="2767"/>
        <w:gridCol w:w="2767"/>
      </w:tblGrid>
      <w:tr w14:paraId="0E3915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095D5B99">
            <w:pPr>
              <w:jc w:val="center"/>
            </w:pPr>
            <w:r>
              <w:rPr>
                <w:b/>
                <w:sz w:val="20"/>
              </w:rPr>
              <w:t>模型</w:t>
            </w:r>
          </w:p>
        </w:tc>
        <w:tc>
          <w:tcPr>
            <w:tcW w:w="2767" w:type="dxa"/>
          </w:tcPr>
          <w:p w14:paraId="20B27F4E">
            <w:pPr>
              <w:jc w:val="center"/>
            </w:pPr>
            <w:r>
              <w:rPr>
                <w:b/>
                <w:sz w:val="20"/>
              </w:rPr>
              <w:t>WA (%)</w:t>
            </w:r>
          </w:p>
        </w:tc>
        <w:tc>
          <w:tcPr>
            <w:tcW w:w="2767" w:type="dxa"/>
          </w:tcPr>
          <w:p w14:paraId="23E6F8F9">
            <w:pPr>
              <w:jc w:val="center"/>
            </w:pPr>
            <w:r>
              <w:rPr>
                <w:b/>
                <w:sz w:val="20"/>
              </w:rPr>
              <w:t>UAR (%)</w:t>
            </w:r>
          </w:p>
        </w:tc>
      </w:tr>
      <w:tr w14:paraId="00C072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6222BA11">
            <w:pPr>
              <w:jc w:val="center"/>
            </w:pPr>
            <w:r>
              <w:rPr>
                <w:sz w:val="20"/>
              </w:rPr>
              <w:t>MFCC+CNN（本文复现）</w:t>
            </w:r>
          </w:p>
        </w:tc>
        <w:tc>
          <w:tcPr>
            <w:tcW w:w="2767" w:type="dxa"/>
          </w:tcPr>
          <w:p w14:paraId="44315552">
            <w:pPr>
              <w:jc w:val="center"/>
            </w:pPr>
            <w:r>
              <w:rPr>
                <w:sz w:val="20"/>
              </w:rPr>
              <w:t>50.2 ± 0.6</w:t>
            </w:r>
          </w:p>
        </w:tc>
        <w:tc>
          <w:tcPr>
            <w:tcW w:w="2767" w:type="dxa"/>
          </w:tcPr>
          <w:p w14:paraId="5E26AAFC">
            <w:pPr>
              <w:jc w:val="center"/>
            </w:pPr>
            <w:r>
              <w:rPr>
                <w:sz w:val="20"/>
              </w:rPr>
              <w:t>50.3 ± 0.6</w:t>
            </w:r>
          </w:p>
        </w:tc>
      </w:tr>
      <w:tr w14:paraId="2A2CD5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1841BF4C">
            <w:pPr>
              <w:jc w:val="center"/>
            </w:pPr>
            <w:r>
              <w:rPr>
                <w:sz w:val="20"/>
              </w:rPr>
              <w:t>C-BESD 基线 [Rao 2024]</w:t>
            </w:r>
          </w:p>
        </w:tc>
        <w:tc>
          <w:tcPr>
            <w:tcW w:w="2767" w:type="dxa"/>
          </w:tcPr>
          <w:p w14:paraId="0A66497C">
            <w:pPr>
              <w:jc w:val="center"/>
            </w:pPr>
            <w:r>
              <w:rPr>
                <w:sz w:val="20"/>
              </w:rPr>
              <w:t>76.0</w:t>
            </w:r>
          </w:p>
        </w:tc>
        <w:tc>
          <w:tcPr>
            <w:tcW w:w="2767" w:type="dxa"/>
          </w:tcPr>
          <w:p w14:paraId="4CBF8A29">
            <w:pPr>
              <w:jc w:val="center"/>
            </w:pPr>
            <w:r>
              <w:rPr>
                <w:sz w:val="20"/>
              </w:rPr>
              <w:t>—</w:t>
            </w:r>
          </w:p>
        </w:tc>
      </w:tr>
      <w:tr w14:paraId="2CFD7E0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17F2DB3B">
            <w:pPr>
              <w:jc w:val="center"/>
            </w:pPr>
            <w:r>
              <w:rPr>
                <w:sz w:val="20"/>
              </w:rPr>
              <w:t>A1: WavLM + 均值池化</w:t>
            </w:r>
          </w:p>
        </w:tc>
        <w:tc>
          <w:tcPr>
            <w:tcW w:w="2767" w:type="dxa"/>
          </w:tcPr>
          <w:p w14:paraId="5E384CF8">
            <w:pPr>
              <w:jc w:val="center"/>
            </w:pPr>
            <w:r>
              <w:rPr>
                <w:sz w:val="20"/>
              </w:rPr>
              <w:t>78.6 ± 0.5</w:t>
            </w:r>
          </w:p>
        </w:tc>
        <w:tc>
          <w:tcPr>
            <w:tcW w:w="2767" w:type="dxa"/>
          </w:tcPr>
          <w:p w14:paraId="1811D227">
            <w:pPr>
              <w:jc w:val="center"/>
            </w:pPr>
            <w:r>
              <w:rPr>
                <w:sz w:val="20"/>
              </w:rPr>
              <w:t>78.6 ± 0.5</w:t>
            </w:r>
          </w:p>
        </w:tc>
      </w:tr>
      <w:tr w14:paraId="3683153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090BE4C5">
            <w:pPr>
              <w:jc w:val="center"/>
            </w:pPr>
            <w:r>
              <w:rPr>
                <w:sz w:val="20"/>
              </w:rPr>
              <w:t>A2 (stat-prior): + Adapter（统计先验）</w:t>
            </w:r>
          </w:p>
        </w:tc>
        <w:tc>
          <w:tcPr>
            <w:tcW w:w="2767" w:type="dxa"/>
          </w:tcPr>
          <w:p w14:paraId="482B57F0">
            <w:pPr>
              <w:jc w:val="center"/>
            </w:pPr>
            <w:r>
              <w:rPr>
                <w:sz w:val="20"/>
              </w:rPr>
              <w:t>78.3 ± 0.8</w:t>
            </w:r>
          </w:p>
        </w:tc>
        <w:tc>
          <w:tcPr>
            <w:tcW w:w="2767" w:type="dxa"/>
          </w:tcPr>
          <w:p w14:paraId="25B2F1BD">
            <w:pPr>
              <w:jc w:val="center"/>
            </w:pPr>
            <w:r>
              <w:rPr>
                <w:sz w:val="20"/>
              </w:rPr>
              <w:t>—</w:t>
            </w:r>
          </w:p>
        </w:tc>
      </w:tr>
      <w:tr w14:paraId="7CBEB2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3B7EB05D">
            <w:pPr>
              <w:jc w:val="center"/>
            </w:pPr>
            <w:r>
              <w:rPr>
                <w:sz w:val="20"/>
              </w:rPr>
              <w:t>A2b (random): + Adapter（随机初始化）</w:t>
            </w:r>
          </w:p>
        </w:tc>
        <w:tc>
          <w:tcPr>
            <w:tcW w:w="2767" w:type="dxa"/>
          </w:tcPr>
          <w:p w14:paraId="7CB7273E">
            <w:pPr>
              <w:jc w:val="center"/>
            </w:pPr>
            <w:r>
              <w:rPr>
                <w:sz w:val="20"/>
              </w:rPr>
              <w:t>78.4 ± 0.5</w:t>
            </w:r>
          </w:p>
        </w:tc>
        <w:tc>
          <w:tcPr>
            <w:tcW w:w="2767" w:type="dxa"/>
          </w:tcPr>
          <w:p w14:paraId="19968F85">
            <w:pPr>
              <w:jc w:val="center"/>
            </w:pPr>
            <w:r>
              <w:rPr>
                <w:sz w:val="20"/>
              </w:rPr>
              <w:t>78.8 ± 0.8</w:t>
            </w:r>
          </w:p>
        </w:tc>
      </w:tr>
      <w:tr w14:paraId="1B40646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3551CB7B">
            <w:pPr>
              <w:jc w:val="center"/>
            </w:pPr>
            <w:r>
              <w:rPr>
                <w:sz w:val="20"/>
              </w:rPr>
              <w:t>A3: + 韵律池化</w:t>
            </w:r>
          </w:p>
        </w:tc>
        <w:tc>
          <w:tcPr>
            <w:tcW w:w="2767" w:type="dxa"/>
          </w:tcPr>
          <w:p w14:paraId="69C8A878">
            <w:pPr>
              <w:jc w:val="center"/>
            </w:pPr>
            <w:r>
              <w:rPr>
                <w:sz w:val="20"/>
              </w:rPr>
              <w:t>80.9 ± 0.6</w:t>
            </w:r>
          </w:p>
        </w:tc>
        <w:tc>
          <w:tcPr>
            <w:tcW w:w="2767" w:type="dxa"/>
          </w:tcPr>
          <w:p w14:paraId="0B5A7D70">
            <w:pPr>
              <w:jc w:val="center"/>
            </w:pPr>
            <w:r>
              <w:rPr>
                <w:sz w:val="20"/>
              </w:rPr>
              <w:t>80.8 ± 0.6</w:t>
            </w:r>
          </w:p>
        </w:tc>
      </w:tr>
      <w:tr w14:paraId="1EA70A3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18D69362">
            <w:pPr>
              <w:jc w:val="center"/>
            </w:pPr>
          </w:p>
        </w:tc>
        <w:tc>
          <w:tcPr>
            <w:tcW w:w="2767" w:type="dxa"/>
          </w:tcPr>
          <w:p w14:paraId="1B16C917">
            <w:pPr>
              <w:jc w:val="center"/>
            </w:pPr>
            <w:r>
              <w:rPr>
                <w:sz w:val="20"/>
              </w:rPr>
              <w:t>(Δ=+2.23, 95% CI [1.41, 3.64])</w:t>
            </w:r>
          </w:p>
        </w:tc>
        <w:tc>
          <w:tcPr>
            <w:tcW w:w="2767" w:type="dxa"/>
          </w:tcPr>
          <w:p w14:paraId="5EE09350">
            <w:pPr>
              <w:jc w:val="center"/>
            </w:pPr>
          </w:p>
        </w:tc>
      </w:tr>
      <w:tr w14:paraId="70DAC7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2859FEEC">
            <w:pPr>
              <w:jc w:val="center"/>
            </w:pPr>
            <w:r>
              <w:rPr>
                <w:sz w:val="20"/>
              </w:rPr>
              <w:t>B3: + Adapter + 韵律池化</w:t>
            </w:r>
          </w:p>
        </w:tc>
        <w:tc>
          <w:tcPr>
            <w:tcW w:w="2767" w:type="dxa"/>
          </w:tcPr>
          <w:p w14:paraId="32E99052">
            <w:pPr>
              <w:jc w:val="center"/>
            </w:pPr>
            <w:r>
              <w:rPr>
                <w:sz w:val="20"/>
              </w:rPr>
              <w:t>81.5 ± 1.1</w:t>
            </w:r>
          </w:p>
        </w:tc>
        <w:tc>
          <w:tcPr>
            <w:tcW w:w="2767" w:type="dxa"/>
          </w:tcPr>
          <w:p w14:paraId="459AF064">
            <w:pPr>
              <w:jc w:val="center"/>
            </w:pPr>
            <w:r>
              <w:rPr>
                <w:sz w:val="20"/>
              </w:rPr>
              <w:t>81.4 ± 1.1</w:t>
            </w:r>
          </w:p>
        </w:tc>
      </w:tr>
    </w:tbl>
    <w:p w14:paraId="6C52CD67"/>
    <w:p w14:paraId="09D0D227">
      <w:r>
        <w:t>MFCC+CNN 基线在严格说话人独立评估下为 50.2%，而已发表的 76% [5] 未明确说明划分协议，两组结果不可直接比较。仅将手工特征替换为 WavLM 冻结表征即带来约 28 个百分点提升。韵律池化在 WavLM 基础上额外贡献 2.2 个百分点。Adapter 的两种初始化方式（stat-prior 和 random-init）的测试准确率均与 A1 基线（78.6%）在噪声范围内（分别为 78.3% 和 78.4%，差异 &lt;0.3pp），且 stat-prior 略低于 random-init。Adapter 在韵律池化之上的边际贡献（A3→B3: +0.6pp）小于运行间方差（std=1.1），且引入额外约 30 万参数。因此本文以 A3 为推荐模型。</w:t>
      </w:r>
    </w:p>
    <w:p w14:paraId="6062093E">
      <w:pPr>
        <w:pStyle w:val="6"/>
      </w:pPr>
      <w:r>
        <w:t>4.3 跨数据集对比分析</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383"/>
        <w:gridCol w:w="1383"/>
        <w:gridCol w:w="1383"/>
        <w:gridCol w:w="1383"/>
        <w:gridCol w:w="1383"/>
        <w:gridCol w:w="1383"/>
      </w:tblGrid>
      <w:tr w14:paraId="56A6BFA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83" w:type="dxa"/>
          </w:tcPr>
          <w:p w14:paraId="5BE0D78D">
            <w:pPr>
              <w:jc w:val="center"/>
            </w:pPr>
            <w:r>
              <w:rPr>
                <w:b/>
                <w:sz w:val="20"/>
              </w:rPr>
              <w:t>数据集</w:t>
            </w:r>
          </w:p>
        </w:tc>
        <w:tc>
          <w:tcPr>
            <w:tcW w:w="1383" w:type="dxa"/>
          </w:tcPr>
          <w:p w14:paraId="7EB2B066">
            <w:pPr>
              <w:jc w:val="center"/>
            </w:pPr>
            <w:r>
              <w:rPr>
                <w:b/>
                <w:sz w:val="20"/>
              </w:rPr>
              <w:t>说话人</w:t>
            </w:r>
          </w:p>
        </w:tc>
        <w:tc>
          <w:tcPr>
            <w:tcW w:w="1383" w:type="dxa"/>
          </w:tcPr>
          <w:p w14:paraId="63A06337">
            <w:pPr>
              <w:jc w:val="center"/>
            </w:pPr>
            <w:r>
              <w:rPr>
                <w:b/>
                <w:sz w:val="20"/>
              </w:rPr>
              <w:t>情绪产生方式</w:t>
            </w:r>
          </w:p>
        </w:tc>
        <w:tc>
          <w:tcPr>
            <w:tcW w:w="1383" w:type="dxa"/>
          </w:tcPr>
          <w:p w14:paraId="6958B000">
            <w:pPr>
              <w:jc w:val="center"/>
            </w:pPr>
            <w:r>
              <w:rPr>
                <w:b/>
                <w:sz w:val="20"/>
              </w:rPr>
              <w:t>A1 WA/UAR</w:t>
            </w:r>
          </w:p>
        </w:tc>
        <w:tc>
          <w:tcPr>
            <w:tcW w:w="1383" w:type="dxa"/>
          </w:tcPr>
          <w:p w14:paraId="12580B06">
            <w:pPr>
              <w:jc w:val="center"/>
            </w:pPr>
            <w:r>
              <w:rPr>
                <w:b/>
                <w:sz w:val="20"/>
              </w:rPr>
              <w:t>A3 WA/UAR</w:t>
            </w:r>
          </w:p>
        </w:tc>
        <w:tc>
          <w:tcPr>
            <w:tcW w:w="1383" w:type="dxa"/>
          </w:tcPr>
          <w:p w14:paraId="7483ABAB">
            <w:pPr>
              <w:jc w:val="center"/>
            </w:pPr>
            <w:r>
              <w:rPr>
                <w:b/>
                <w:sz w:val="20"/>
              </w:rPr>
              <w:t>ΔWA</w:t>
            </w:r>
          </w:p>
        </w:tc>
      </w:tr>
      <w:tr w14:paraId="44DC554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83" w:type="dxa"/>
          </w:tcPr>
          <w:p w14:paraId="4757F86E">
            <w:pPr>
              <w:jc w:val="center"/>
            </w:pPr>
            <w:r>
              <w:rPr>
                <w:sz w:val="20"/>
              </w:rPr>
              <w:t>C-BESD</w:t>
            </w:r>
          </w:p>
        </w:tc>
        <w:tc>
          <w:tcPr>
            <w:tcW w:w="1383" w:type="dxa"/>
          </w:tcPr>
          <w:p w14:paraId="18682D48">
            <w:pPr>
              <w:jc w:val="center"/>
            </w:pPr>
            <w:r>
              <w:rPr>
                <w:sz w:val="20"/>
              </w:rPr>
              <w:t>儿童</w:t>
            </w:r>
          </w:p>
        </w:tc>
        <w:tc>
          <w:tcPr>
            <w:tcW w:w="1383" w:type="dxa"/>
          </w:tcPr>
          <w:p w14:paraId="1B125D33">
            <w:pPr>
              <w:jc w:val="center"/>
            </w:pPr>
            <w:r>
              <w:rPr>
                <w:sz w:val="20"/>
              </w:rPr>
              <w:t>指定表达</w:t>
            </w:r>
          </w:p>
        </w:tc>
        <w:tc>
          <w:tcPr>
            <w:tcW w:w="1383" w:type="dxa"/>
          </w:tcPr>
          <w:p w14:paraId="59C60E58">
            <w:pPr>
              <w:jc w:val="center"/>
            </w:pPr>
            <w:r>
              <w:rPr>
                <w:sz w:val="20"/>
              </w:rPr>
              <w:t>78.6 / 78.6</w:t>
            </w:r>
          </w:p>
        </w:tc>
        <w:tc>
          <w:tcPr>
            <w:tcW w:w="1383" w:type="dxa"/>
          </w:tcPr>
          <w:p w14:paraId="4FCC50B8">
            <w:pPr>
              <w:jc w:val="center"/>
            </w:pPr>
            <w:r>
              <w:rPr>
                <w:sz w:val="20"/>
              </w:rPr>
              <w:t>80.9 / 80.8</w:t>
            </w:r>
          </w:p>
        </w:tc>
        <w:tc>
          <w:tcPr>
            <w:tcW w:w="1383" w:type="dxa"/>
          </w:tcPr>
          <w:p w14:paraId="2FFA3CD5">
            <w:pPr>
              <w:jc w:val="center"/>
            </w:pPr>
            <w:r>
              <w:rPr>
                <w:sz w:val="20"/>
              </w:rPr>
              <w:t>+2.24</w:t>
            </w:r>
          </w:p>
        </w:tc>
      </w:tr>
      <w:tr w14:paraId="056E400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83" w:type="dxa"/>
          </w:tcPr>
          <w:p w14:paraId="026E9645">
            <w:pPr>
              <w:jc w:val="center"/>
            </w:pPr>
            <w:r>
              <w:rPr>
                <w:sz w:val="20"/>
              </w:rPr>
              <w:t>CREMA-D</w:t>
            </w:r>
          </w:p>
        </w:tc>
        <w:tc>
          <w:tcPr>
            <w:tcW w:w="1383" w:type="dxa"/>
          </w:tcPr>
          <w:p w14:paraId="32564FB9">
            <w:pPr>
              <w:jc w:val="center"/>
            </w:pPr>
            <w:r>
              <w:rPr>
                <w:sz w:val="20"/>
              </w:rPr>
              <w:t>成人</w:t>
            </w:r>
          </w:p>
        </w:tc>
        <w:tc>
          <w:tcPr>
            <w:tcW w:w="1383" w:type="dxa"/>
          </w:tcPr>
          <w:p w14:paraId="03192EEA">
            <w:pPr>
              <w:jc w:val="center"/>
            </w:pPr>
            <w:r>
              <w:rPr>
                <w:sz w:val="20"/>
              </w:rPr>
              <w:t>指定表达</w:t>
            </w:r>
          </w:p>
        </w:tc>
        <w:tc>
          <w:tcPr>
            <w:tcW w:w="1383" w:type="dxa"/>
          </w:tcPr>
          <w:p w14:paraId="3C93A581">
            <w:pPr>
              <w:jc w:val="center"/>
            </w:pPr>
            <w:r>
              <w:rPr>
                <w:sz w:val="20"/>
              </w:rPr>
              <w:t>64.7 / 64.9</w:t>
            </w:r>
          </w:p>
        </w:tc>
        <w:tc>
          <w:tcPr>
            <w:tcW w:w="1383" w:type="dxa"/>
          </w:tcPr>
          <w:p w14:paraId="530AA63D">
            <w:pPr>
              <w:jc w:val="center"/>
            </w:pPr>
            <w:r>
              <w:rPr>
                <w:sz w:val="20"/>
              </w:rPr>
              <w:t>65.4 / 65.6</w:t>
            </w:r>
          </w:p>
        </w:tc>
        <w:tc>
          <w:tcPr>
            <w:tcW w:w="1383" w:type="dxa"/>
          </w:tcPr>
          <w:p w14:paraId="73AC92FF">
            <w:pPr>
              <w:jc w:val="center"/>
            </w:pPr>
            <w:r>
              <w:rPr>
                <w:sz w:val="20"/>
              </w:rPr>
              <w:t>+0.75</w:t>
            </w:r>
          </w:p>
        </w:tc>
      </w:tr>
      <w:tr w14:paraId="31B14FB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83" w:type="dxa"/>
          </w:tcPr>
          <w:p w14:paraId="5355C1EC">
            <w:pPr>
              <w:jc w:val="center"/>
            </w:pPr>
            <w:r>
              <w:rPr>
                <w:sz w:val="20"/>
              </w:rPr>
              <w:t>IEMOCAP 6-cls</w:t>
            </w:r>
          </w:p>
        </w:tc>
        <w:tc>
          <w:tcPr>
            <w:tcW w:w="1383" w:type="dxa"/>
          </w:tcPr>
          <w:p w14:paraId="64B4D511">
            <w:pPr>
              <w:jc w:val="center"/>
            </w:pPr>
            <w:r>
              <w:rPr>
                <w:sz w:val="20"/>
              </w:rPr>
              <w:t>成人</w:t>
            </w:r>
          </w:p>
        </w:tc>
        <w:tc>
          <w:tcPr>
            <w:tcW w:w="1383" w:type="dxa"/>
          </w:tcPr>
          <w:p w14:paraId="2576E898">
            <w:pPr>
              <w:jc w:val="center"/>
            </w:pPr>
            <w:r>
              <w:rPr>
                <w:sz w:val="20"/>
              </w:rPr>
              <w:t>对话中自然流露</w:t>
            </w:r>
          </w:p>
        </w:tc>
        <w:tc>
          <w:tcPr>
            <w:tcW w:w="1383" w:type="dxa"/>
          </w:tcPr>
          <w:p w14:paraId="1F1F8552">
            <w:pPr>
              <w:jc w:val="center"/>
            </w:pPr>
            <w:r>
              <w:rPr>
                <w:sz w:val="20"/>
              </w:rPr>
              <w:t>54.5 / —</w:t>
            </w:r>
          </w:p>
        </w:tc>
        <w:tc>
          <w:tcPr>
            <w:tcW w:w="1383" w:type="dxa"/>
          </w:tcPr>
          <w:p w14:paraId="347767A8">
            <w:pPr>
              <w:jc w:val="center"/>
            </w:pPr>
            <w:r>
              <w:rPr>
                <w:sz w:val="20"/>
              </w:rPr>
              <w:t>52.4 / —</w:t>
            </w:r>
          </w:p>
        </w:tc>
        <w:tc>
          <w:tcPr>
            <w:tcW w:w="1383" w:type="dxa"/>
          </w:tcPr>
          <w:p w14:paraId="4136FC8B">
            <w:pPr>
              <w:jc w:val="center"/>
            </w:pPr>
            <w:r>
              <w:rPr>
                <w:sz w:val="20"/>
              </w:rPr>
              <w:t>−2.12</w:t>
            </w:r>
          </w:p>
        </w:tc>
      </w:tr>
      <w:tr w14:paraId="15977F9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383" w:type="dxa"/>
          </w:tcPr>
          <w:p w14:paraId="4CC6025C">
            <w:pPr>
              <w:jc w:val="center"/>
            </w:pPr>
            <w:r>
              <w:rPr>
                <w:sz w:val="20"/>
              </w:rPr>
              <w:t>IEMOCAP 4-cls</w:t>
            </w:r>
          </w:p>
        </w:tc>
        <w:tc>
          <w:tcPr>
            <w:tcW w:w="1383" w:type="dxa"/>
          </w:tcPr>
          <w:p w14:paraId="7251D6A8">
            <w:pPr>
              <w:jc w:val="center"/>
            </w:pPr>
            <w:r>
              <w:rPr>
                <w:sz w:val="20"/>
              </w:rPr>
              <w:t>成人</w:t>
            </w:r>
          </w:p>
        </w:tc>
        <w:tc>
          <w:tcPr>
            <w:tcW w:w="1383" w:type="dxa"/>
          </w:tcPr>
          <w:p w14:paraId="6CB26B30">
            <w:pPr>
              <w:jc w:val="center"/>
            </w:pPr>
            <w:r>
              <w:rPr>
                <w:sz w:val="20"/>
              </w:rPr>
              <w:t>对话中自然流露</w:t>
            </w:r>
          </w:p>
        </w:tc>
        <w:tc>
          <w:tcPr>
            <w:tcW w:w="1383" w:type="dxa"/>
          </w:tcPr>
          <w:p w14:paraId="600536FF">
            <w:pPr>
              <w:jc w:val="center"/>
            </w:pPr>
            <w:r>
              <w:rPr>
                <w:sz w:val="20"/>
              </w:rPr>
              <w:t>54.2 / 51.4</w:t>
            </w:r>
          </w:p>
        </w:tc>
        <w:tc>
          <w:tcPr>
            <w:tcW w:w="1383" w:type="dxa"/>
          </w:tcPr>
          <w:p w14:paraId="3E44506F">
            <w:pPr>
              <w:jc w:val="center"/>
            </w:pPr>
            <w:r>
              <w:rPr>
                <w:sz w:val="20"/>
              </w:rPr>
              <w:t>55.2 / 52.5</w:t>
            </w:r>
          </w:p>
        </w:tc>
        <w:tc>
          <w:tcPr>
            <w:tcW w:w="1383" w:type="dxa"/>
          </w:tcPr>
          <w:p w14:paraId="6A94F97D">
            <w:pPr>
              <w:jc w:val="center"/>
            </w:pPr>
            <w:r>
              <w:rPr>
                <w:sz w:val="20"/>
              </w:rPr>
              <w:t>+1.02</w:t>
            </w:r>
          </w:p>
        </w:tc>
      </w:tr>
    </w:tbl>
    <w:p w14:paraId="2E4E3760"/>
    <w:p w14:paraId="72F97C94">
      <w:pPr>
        <w:ind w:left="567"/>
      </w:pPr>
      <w:r>
        <w:rPr>
          <w:i/>
          <w:sz w:val="20"/>
        </w:rPr>
        <w:t>注：IEMOCAP 6 类 UAR 未单独记录（仅单次运行）；IEMOCAP 4 类为单 seed 补充实验。CREMA-D 为单 seed 运行。</w:t>
      </w:r>
    </w:p>
    <w:p w14:paraId="161C8A1B">
      <w:r>
        <w:t>观察：（1）在 C-BESD 和 CREMA-D 上，韵律池化均表现为正向增益，且儿童获益远大于成人（+2.24 vs +0.75 个百分点）。（2）IEMOCAP 6 类上韵律池化小幅为负（−2.12），但 4 类子集上转为正向（+1.02），表明 6 类中的负向效果主要由 DISGUST 和 FEAR 驱动，而非"自然对话"本身。</w:t>
      </w:r>
    </w:p>
    <w:p w14:paraId="11515FE1">
      <w:r>
        <w:t>为进一步理解上述差异，表 X 给出了三个数据集的声学统计：</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75"/>
        <w:gridCol w:w="2075"/>
        <w:gridCol w:w="2075"/>
        <w:gridCol w:w="2075"/>
      </w:tblGrid>
      <w:tr w14:paraId="35C1EF4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61538022">
            <w:pPr>
              <w:jc w:val="center"/>
            </w:pPr>
            <w:r>
              <w:rPr>
                <w:b/>
                <w:sz w:val="20"/>
              </w:rPr>
              <w:t>数据集</w:t>
            </w:r>
          </w:p>
        </w:tc>
        <w:tc>
          <w:tcPr>
            <w:tcW w:w="2075" w:type="dxa"/>
          </w:tcPr>
          <w:p w14:paraId="697CBC23">
            <w:pPr>
              <w:jc w:val="center"/>
            </w:pPr>
            <w:r>
              <w:rPr>
                <w:b/>
                <w:sz w:val="20"/>
              </w:rPr>
              <w:t>F0 中位数 (Hz)</w:t>
            </w:r>
          </w:p>
        </w:tc>
        <w:tc>
          <w:tcPr>
            <w:tcW w:w="2075" w:type="dxa"/>
          </w:tcPr>
          <w:p w14:paraId="711D4860">
            <w:pPr>
              <w:jc w:val="center"/>
            </w:pPr>
            <w:r>
              <w:rPr>
                <w:b/>
                <w:sz w:val="20"/>
              </w:rPr>
              <w:t>F0 范围 (Hz)</w:t>
            </w:r>
          </w:p>
        </w:tc>
        <w:tc>
          <w:tcPr>
            <w:tcW w:w="2075" w:type="dxa"/>
          </w:tcPr>
          <w:p w14:paraId="2C67D04F">
            <w:pPr>
              <w:jc w:val="center"/>
            </w:pPr>
            <w:r>
              <w:rPr>
                <w:b/>
                <w:sz w:val="20"/>
              </w:rPr>
              <w:t>Energy 均值</w:t>
            </w:r>
          </w:p>
        </w:tc>
      </w:tr>
      <w:tr w14:paraId="62A3AE6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3C20727C">
            <w:pPr>
              <w:jc w:val="center"/>
            </w:pPr>
            <w:r>
              <w:rPr>
                <w:sz w:val="20"/>
              </w:rPr>
              <w:t>C-BESD（儿童）</w:t>
            </w:r>
          </w:p>
        </w:tc>
        <w:tc>
          <w:tcPr>
            <w:tcW w:w="2075" w:type="dxa"/>
          </w:tcPr>
          <w:p w14:paraId="6F089D6A">
            <w:pPr>
              <w:jc w:val="center"/>
            </w:pPr>
            <w:r>
              <w:rPr>
                <w:sz w:val="20"/>
              </w:rPr>
              <w:t>340</w:t>
            </w:r>
          </w:p>
        </w:tc>
        <w:tc>
          <w:tcPr>
            <w:tcW w:w="2075" w:type="dxa"/>
          </w:tcPr>
          <w:p w14:paraId="32226D88">
            <w:pPr>
              <w:jc w:val="center"/>
            </w:pPr>
            <w:r>
              <w:rPr>
                <w:sz w:val="20"/>
              </w:rPr>
              <w:t>137–2286</w:t>
            </w:r>
          </w:p>
        </w:tc>
        <w:tc>
          <w:tcPr>
            <w:tcW w:w="2075" w:type="dxa"/>
          </w:tcPr>
          <w:p w14:paraId="6B9D3EEF">
            <w:pPr>
              <w:jc w:val="center"/>
            </w:pPr>
            <w:r>
              <w:rPr>
                <w:sz w:val="20"/>
              </w:rPr>
              <w:t>0.030</w:t>
            </w:r>
          </w:p>
        </w:tc>
      </w:tr>
      <w:tr w14:paraId="5230932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4D60D9C4">
            <w:pPr>
              <w:jc w:val="center"/>
            </w:pPr>
            <w:r>
              <w:rPr>
                <w:sz w:val="20"/>
              </w:rPr>
              <w:t>CREMA-D（成人, 指定表达）</w:t>
            </w:r>
          </w:p>
        </w:tc>
        <w:tc>
          <w:tcPr>
            <w:tcW w:w="2075" w:type="dxa"/>
          </w:tcPr>
          <w:p w14:paraId="48087166">
            <w:pPr>
              <w:jc w:val="center"/>
            </w:pPr>
            <w:r>
              <w:rPr>
                <w:sz w:val="20"/>
              </w:rPr>
              <w:t>223</w:t>
            </w:r>
          </w:p>
        </w:tc>
        <w:tc>
          <w:tcPr>
            <w:tcW w:w="2075" w:type="dxa"/>
          </w:tcPr>
          <w:p w14:paraId="77D21CB8">
            <w:pPr>
              <w:jc w:val="center"/>
            </w:pPr>
            <w:r>
              <w:rPr>
                <w:sz w:val="20"/>
              </w:rPr>
              <w:t>85–2286</w:t>
            </w:r>
          </w:p>
        </w:tc>
        <w:tc>
          <w:tcPr>
            <w:tcW w:w="2075" w:type="dxa"/>
          </w:tcPr>
          <w:p w14:paraId="3B661B72">
            <w:pPr>
              <w:jc w:val="center"/>
            </w:pPr>
            <w:r>
              <w:rPr>
                <w:sz w:val="20"/>
              </w:rPr>
              <w:t>0.018</w:t>
            </w:r>
          </w:p>
        </w:tc>
      </w:tr>
      <w:tr w14:paraId="65491D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178E3C8F">
            <w:pPr>
              <w:jc w:val="center"/>
            </w:pPr>
            <w:r>
              <w:rPr>
                <w:sz w:val="20"/>
              </w:rPr>
              <w:t>IEMOCAP（成人, 自然对话）</w:t>
            </w:r>
          </w:p>
        </w:tc>
        <w:tc>
          <w:tcPr>
            <w:tcW w:w="2075" w:type="dxa"/>
          </w:tcPr>
          <w:p w14:paraId="6C3AF658">
            <w:pPr>
              <w:jc w:val="center"/>
            </w:pPr>
            <w:r>
              <w:rPr>
                <w:sz w:val="20"/>
              </w:rPr>
              <w:t>232</w:t>
            </w:r>
          </w:p>
        </w:tc>
        <w:tc>
          <w:tcPr>
            <w:tcW w:w="2075" w:type="dxa"/>
          </w:tcPr>
          <w:p w14:paraId="51AF4913">
            <w:pPr>
              <w:jc w:val="center"/>
            </w:pPr>
            <w:r>
              <w:rPr>
                <w:sz w:val="20"/>
              </w:rPr>
              <w:t>0–2286</w:t>
            </w:r>
          </w:p>
        </w:tc>
        <w:tc>
          <w:tcPr>
            <w:tcW w:w="2075" w:type="dxa"/>
          </w:tcPr>
          <w:p w14:paraId="5B075E4E">
            <w:pPr>
              <w:jc w:val="center"/>
            </w:pPr>
            <w:r>
              <w:rPr>
                <w:sz w:val="20"/>
              </w:rPr>
              <w:t>0.020</w:t>
            </w:r>
          </w:p>
        </w:tc>
      </w:tr>
    </w:tbl>
    <w:p w14:paraId="3BB0292C"/>
    <w:p w14:paraId="4EA64A84">
      <w:r>
        <w:t>注：所有 F0 均值均受 YIN 算法 fmax=2093 Hz 处 spurious 检测影响而偏高（C-BESD 均值 1068 Hz, CREMA-D 均值 933 Hz），表中使用更可靠的中位数。C-BESD 儿童 F0 中位数约为两个成人数据集的 1.5 倍（340 vs 223/232 Hz），且方差更大，为"儿童韵律的高变异性使 F0 成为更可靠的注意力引导信号"提供了数据支撑。</w:t>
      </w:r>
    </w:p>
    <w:p w14:paraId="53FD734C">
      <w:pPr>
        <w:pStyle w:val="6"/>
      </w:pPr>
      <w:r>
        <w:t>4.4 骨干网络对比</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75"/>
        <w:gridCol w:w="2075"/>
        <w:gridCol w:w="2075"/>
        <w:gridCol w:w="2075"/>
      </w:tblGrid>
      <w:tr w14:paraId="29F52EC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1937EB09">
            <w:pPr>
              <w:jc w:val="center"/>
            </w:pPr>
            <w:r>
              <w:rPr>
                <w:b/>
                <w:sz w:val="20"/>
              </w:rPr>
              <w:t>骨干网络</w:t>
            </w:r>
          </w:p>
        </w:tc>
        <w:tc>
          <w:tcPr>
            <w:tcW w:w="2075" w:type="dxa"/>
          </w:tcPr>
          <w:p w14:paraId="53CB066B">
            <w:pPr>
              <w:jc w:val="center"/>
            </w:pPr>
            <w:r>
              <w:rPr>
                <w:b/>
                <w:sz w:val="20"/>
              </w:rPr>
              <w:t>A1 WA</w:t>
            </w:r>
          </w:p>
        </w:tc>
        <w:tc>
          <w:tcPr>
            <w:tcW w:w="2075" w:type="dxa"/>
          </w:tcPr>
          <w:p w14:paraId="16903015">
            <w:pPr>
              <w:jc w:val="center"/>
            </w:pPr>
            <w:r>
              <w:rPr>
                <w:b/>
                <w:sz w:val="20"/>
              </w:rPr>
              <w:t>A3 WA</w:t>
            </w:r>
          </w:p>
        </w:tc>
        <w:tc>
          <w:tcPr>
            <w:tcW w:w="2075" w:type="dxa"/>
          </w:tcPr>
          <w:p w14:paraId="03C955C7">
            <w:pPr>
              <w:jc w:val="center"/>
            </w:pPr>
            <w:r>
              <w:rPr>
                <w:b/>
                <w:sz w:val="20"/>
              </w:rPr>
              <w:t>Δ</w:t>
            </w:r>
          </w:p>
        </w:tc>
      </w:tr>
      <w:tr w14:paraId="08EB735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4AFC9057">
            <w:pPr>
              <w:jc w:val="center"/>
            </w:pPr>
            <w:r>
              <w:rPr>
                <w:sz w:val="20"/>
              </w:rPr>
              <w:t>WavLM</w:t>
            </w:r>
          </w:p>
        </w:tc>
        <w:tc>
          <w:tcPr>
            <w:tcW w:w="2075" w:type="dxa"/>
          </w:tcPr>
          <w:p w14:paraId="0348157E">
            <w:pPr>
              <w:jc w:val="center"/>
            </w:pPr>
            <w:r>
              <w:rPr>
                <w:sz w:val="20"/>
              </w:rPr>
              <w:t>78.5%</w:t>
            </w:r>
          </w:p>
        </w:tc>
        <w:tc>
          <w:tcPr>
            <w:tcW w:w="2075" w:type="dxa"/>
          </w:tcPr>
          <w:p w14:paraId="0E48F856">
            <w:pPr>
              <w:jc w:val="center"/>
            </w:pPr>
            <w:r>
              <w:rPr>
                <w:sz w:val="20"/>
              </w:rPr>
              <w:t>80.3%</w:t>
            </w:r>
          </w:p>
        </w:tc>
        <w:tc>
          <w:tcPr>
            <w:tcW w:w="2075" w:type="dxa"/>
          </w:tcPr>
          <w:p w14:paraId="24288A24">
            <w:pPr>
              <w:jc w:val="center"/>
            </w:pPr>
            <w:r>
              <w:rPr>
                <w:sz w:val="20"/>
              </w:rPr>
              <w:t>+1.8</w:t>
            </w:r>
          </w:p>
        </w:tc>
      </w:tr>
      <w:tr w14:paraId="051F23C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38320AFB">
            <w:pPr>
              <w:jc w:val="center"/>
            </w:pPr>
            <w:r>
              <w:rPr>
                <w:sz w:val="20"/>
              </w:rPr>
              <w:t>wav2vec 2.0</w:t>
            </w:r>
          </w:p>
        </w:tc>
        <w:tc>
          <w:tcPr>
            <w:tcW w:w="2075" w:type="dxa"/>
          </w:tcPr>
          <w:p w14:paraId="47C592B9">
            <w:pPr>
              <w:jc w:val="center"/>
            </w:pPr>
            <w:r>
              <w:rPr>
                <w:sz w:val="20"/>
              </w:rPr>
              <w:t>56.1%</w:t>
            </w:r>
          </w:p>
        </w:tc>
        <w:tc>
          <w:tcPr>
            <w:tcW w:w="2075" w:type="dxa"/>
          </w:tcPr>
          <w:p w14:paraId="1C386B8C">
            <w:pPr>
              <w:jc w:val="center"/>
            </w:pPr>
            <w:r>
              <w:rPr>
                <w:sz w:val="20"/>
              </w:rPr>
              <w:t>55.6%</w:t>
            </w:r>
          </w:p>
        </w:tc>
        <w:tc>
          <w:tcPr>
            <w:tcW w:w="2075" w:type="dxa"/>
          </w:tcPr>
          <w:p w14:paraId="6386148E">
            <w:pPr>
              <w:jc w:val="center"/>
            </w:pPr>
            <w:r>
              <w:rPr>
                <w:sz w:val="20"/>
              </w:rPr>
              <w:t>−0.5</w:t>
            </w:r>
          </w:p>
        </w:tc>
      </w:tr>
    </w:tbl>
    <w:p w14:paraId="07556C11"/>
    <w:p w14:paraId="7CF1A4C6">
      <w:r>
        <w:t>WavLM 在儿童语音上远优于 wav2vec 2.0（差距 22pp），验证了选择 WavLM 的合理性。HuBERT 因模型可用性限制未测试。</w:t>
      </w:r>
    </w:p>
    <w:p w14:paraId="7937A195">
      <w:pPr>
        <w:pStyle w:val="6"/>
      </w:pPr>
      <w:r>
        <w:t>4.5 增强敏感性分析（负面实验）</w:t>
      </w:r>
    </w:p>
    <w:p w14:paraId="65E722A4">
      <w:r>
        <w:t>四种增强条件应用于训练集（B3 配置）：</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75"/>
        <w:gridCol w:w="2075"/>
        <w:gridCol w:w="2075"/>
        <w:gridCol w:w="2075"/>
      </w:tblGrid>
      <w:tr w14:paraId="73DF59E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0CCF44E2">
            <w:pPr>
              <w:jc w:val="center"/>
            </w:pPr>
            <w:r>
              <w:rPr>
                <w:b/>
                <w:sz w:val="20"/>
              </w:rPr>
              <w:t>条件</w:t>
            </w:r>
          </w:p>
        </w:tc>
        <w:tc>
          <w:tcPr>
            <w:tcW w:w="2075" w:type="dxa"/>
          </w:tcPr>
          <w:p w14:paraId="138C0F6E">
            <w:pPr>
              <w:jc w:val="center"/>
            </w:pPr>
            <w:r>
              <w:rPr>
                <w:b/>
                <w:sz w:val="20"/>
              </w:rPr>
              <w:t>FD</w:t>
            </w:r>
          </w:p>
        </w:tc>
        <w:tc>
          <w:tcPr>
            <w:tcW w:w="2075" w:type="dxa"/>
          </w:tcPr>
          <w:p w14:paraId="462309F4">
            <w:pPr>
              <w:jc w:val="center"/>
            </w:pPr>
            <w:r>
              <w:rPr>
                <w:b/>
                <w:sz w:val="20"/>
              </w:rPr>
              <w:t>WA</w:t>
            </w:r>
          </w:p>
        </w:tc>
        <w:tc>
          <w:tcPr>
            <w:tcW w:w="2075" w:type="dxa"/>
          </w:tcPr>
          <w:p w14:paraId="413AD1AC">
            <w:pPr>
              <w:jc w:val="center"/>
            </w:pPr>
            <w:r>
              <w:rPr>
                <w:b/>
                <w:sz w:val="20"/>
              </w:rPr>
              <w:t>vs C1</w:t>
            </w:r>
          </w:p>
        </w:tc>
      </w:tr>
      <w:tr w14:paraId="367D447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6784BCD7">
            <w:pPr>
              <w:jc w:val="center"/>
            </w:pPr>
            <w:r>
              <w:rPr>
                <w:sz w:val="20"/>
              </w:rPr>
              <w:t>C1: 无增强</w:t>
            </w:r>
          </w:p>
        </w:tc>
        <w:tc>
          <w:tcPr>
            <w:tcW w:w="2075" w:type="dxa"/>
          </w:tcPr>
          <w:p w14:paraId="6E93A341">
            <w:pPr>
              <w:jc w:val="center"/>
            </w:pPr>
            <w:r>
              <w:rPr>
                <w:sz w:val="20"/>
              </w:rPr>
              <w:t>0.00</w:t>
            </w:r>
          </w:p>
        </w:tc>
        <w:tc>
          <w:tcPr>
            <w:tcW w:w="2075" w:type="dxa"/>
          </w:tcPr>
          <w:p w14:paraId="7D004720">
            <w:pPr>
              <w:jc w:val="center"/>
            </w:pPr>
            <w:r>
              <w:rPr>
                <w:sz w:val="20"/>
              </w:rPr>
              <w:t>80.3%</w:t>
            </w:r>
          </w:p>
        </w:tc>
        <w:tc>
          <w:tcPr>
            <w:tcW w:w="2075" w:type="dxa"/>
          </w:tcPr>
          <w:p w14:paraId="523C32A0">
            <w:pPr>
              <w:jc w:val="center"/>
            </w:pPr>
            <w:r>
              <w:rPr>
                <w:sz w:val="20"/>
              </w:rPr>
              <w:t>—</w:t>
            </w:r>
          </w:p>
        </w:tc>
      </w:tr>
      <w:tr w14:paraId="146176D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7EA35D46">
            <w:pPr>
              <w:jc w:val="center"/>
            </w:pPr>
            <w:r>
              <w:rPr>
                <w:sz w:val="20"/>
              </w:rPr>
              <w:t>C3: 儿童约束参数</w:t>
            </w:r>
          </w:p>
        </w:tc>
        <w:tc>
          <w:tcPr>
            <w:tcW w:w="2075" w:type="dxa"/>
          </w:tcPr>
          <w:p w14:paraId="6BB33258">
            <w:pPr>
              <w:jc w:val="center"/>
            </w:pPr>
            <w:r>
              <w:rPr>
                <w:sz w:val="20"/>
              </w:rPr>
              <w:t>8.71</w:t>
            </w:r>
          </w:p>
        </w:tc>
        <w:tc>
          <w:tcPr>
            <w:tcW w:w="2075" w:type="dxa"/>
          </w:tcPr>
          <w:p w14:paraId="3B9661DD">
            <w:pPr>
              <w:jc w:val="center"/>
            </w:pPr>
            <w:r>
              <w:rPr>
                <w:sz w:val="20"/>
              </w:rPr>
              <w:t>58.8%</w:t>
            </w:r>
          </w:p>
        </w:tc>
        <w:tc>
          <w:tcPr>
            <w:tcW w:w="2075" w:type="dxa"/>
          </w:tcPr>
          <w:p w14:paraId="56055F1D">
            <w:pPr>
              <w:jc w:val="center"/>
            </w:pPr>
            <w:r>
              <w:rPr>
                <w:sz w:val="20"/>
              </w:rPr>
              <w:t>−21.5</w:t>
            </w:r>
          </w:p>
        </w:tc>
      </w:tr>
      <w:tr w14:paraId="5779C8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0F605174">
            <w:pPr>
              <w:jc w:val="center"/>
            </w:pPr>
            <w:r>
              <w:rPr>
                <w:sz w:val="20"/>
              </w:rPr>
              <w:t>C2: 成人参数</w:t>
            </w:r>
          </w:p>
        </w:tc>
        <w:tc>
          <w:tcPr>
            <w:tcW w:w="2075" w:type="dxa"/>
          </w:tcPr>
          <w:p w14:paraId="5B8383EB">
            <w:pPr>
              <w:jc w:val="center"/>
            </w:pPr>
            <w:r>
              <w:rPr>
                <w:sz w:val="20"/>
              </w:rPr>
              <w:t>9.87</w:t>
            </w:r>
          </w:p>
        </w:tc>
        <w:tc>
          <w:tcPr>
            <w:tcW w:w="2075" w:type="dxa"/>
          </w:tcPr>
          <w:p w14:paraId="506EB8D3">
            <w:pPr>
              <w:jc w:val="center"/>
            </w:pPr>
            <w:r>
              <w:rPr>
                <w:sz w:val="20"/>
              </w:rPr>
              <w:t>52.3%</w:t>
            </w:r>
          </w:p>
        </w:tc>
        <w:tc>
          <w:tcPr>
            <w:tcW w:w="2075" w:type="dxa"/>
          </w:tcPr>
          <w:p w14:paraId="05095958">
            <w:pPr>
              <w:jc w:val="center"/>
            </w:pPr>
            <w:r>
              <w:rPr>
                <w:sz w:val="20"/>
              </w:rPr>
              <w:t>−28.0</w:t>
            </w:r>
          </w:p>
        </w:tc>
      </w:tr>
      <w:tr w14:paraId="5ECF996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2F89F2B5">
            <w:pPr>
              <w:jc w:val="center"/>
            </w:pPr>
            <w:r>
              <w:rPr>
                <w:sz w:val="20"/>
              </w:rPr>
              <w:t>C4: 极端参数</w:t>
            </w:r>
          </w:p>
        </w:tc>
        <w:tc>
          <w:tcPr>
            <w:tcW w:w="2075" w:type="dxa"/>
          </w:tcPr>
          <w:p w14:paraId="78C6665D">
            <w:pPr>
              <w:jc w:val="center"/>
            </w:pPr>
            <w:r>
              <w:rPr>
                <w:sz w:val="20"/>
              </w:rPr>
              <w:t>11.99</w:t>
            </w:r>
          </w:p>
        </w:tc>
        <w:tc>
          <w:tcPr>
            <w:tcW w:w="2075" w:type="dxa"/>
          </w:tcPr>
          <w:p w14:paraId="22DD7DA1">
            <w:pPr>
              <w:jc w:val="center"/>
            </w:pPr>
            <w:r>
              <w:rPr>
                <w:sz w:val="20"/>
              </w:rPr>
              <w:t>46.9%</w:t>
            </w:r>
          </w:p>
        </w:tc>
        <w:tc>
          <w:tcPr>
            <w:tcW w:w="2075" w:type="dxa"/>
          </w:tcPr>
          <w:p w14:paraId="6DFC0894">
            <w:pPr>
              <w:jc w:val="center"/>
            </w:pPr>
            <w:r>
              <w:rPr>
                <w:sz w:val="20"/>
              </w:rPr>
              <w:t>−33.4</w:t>
            </w:r>
          </w:p>
        </w:tc>
      </w:tr>
    </w:tbl>
    <w:p w14:paraId="6E905BD3"/>
    <w:p w14:paraId="665228BF">
      <w:r>
        <w:t>在本实验条件下，所有增强配置均导致性能显著下降，即使使用由儿童统计分布约束的参数（C3）亦不例外。FD 与准确率之间在此四组数据点上呈单调关系，提示 FD 可作为分布偏移的风险指标。</w:t>
      </w:r>
    </w:p>
    <w:p w14:paraId="0AECDBFF">
      <w:pPr>
        <w:pStyle w:val="6"/>
      </w:pPr>
      <w:r>
        <w:t>4.6 跨语言初步分析</w:t>
      </w:r>
    </w:p>
    <w:p w14:paraId="5B8D3972">
      <w:pPr>
        <w:ind w:left="567"/>
      </w:pPr>
      <w:r>
        <w:rPr>
          <w:i/>
          <w:sz w:val="20"/>
        </w:rPr>
        <w:t>注：本节实验使用历史 60/20/20 协议，其他实验均使用 6:2:2 协议。此处作为初步分析（preliminary analysis），不与主实验结果直接比较。</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767"/>
        <w:gridCol w:w="2767"/>
        <w:gridCol w:w="2767"/>
      </w:tblGrid>
      <w:tr w14:paraId="3E77C6B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4758C0D2">
            <w:pPr>
              <w:jc w:val="center"/>
            </w:pPr>
            <w:r>
              <w:rPr>
                <w:b/>
                <w:sz w:val="20"/>
              </w:rPr>
              <w:t>训练语言</w:t>
            </w:r>
          </w:p>
        </w:tc>
        <w:tc>
          <w:tcPr>
            <w:tcW w:w="2767" w:type="dxa"/>
          </w:tcPr>
          <w:p w14:paraId="6373A622">
            <w:pPr>
              <w:jc w:val="center"/>
            </w:pPr>
            <w:r>
              <w:rPr>
                <w:b/>
                <w:sz w:val="20"/>
              </w:rPr>
              <w:t>测试语言</w:t>
            </w:r>
          </w:p>
        </w:tc>
        <w:tc>
          <w:tcPr>
            <w:tcW w:w="2767" w:type="dxa"/>
          </w:tcPr>
          <w:p w14:paraId="6EA0A4E8">
            <w:pPr>
              <w:jc w:val="center"/>
            </w:pPr>
            <w:r>
              <w:rPr>
                <w:b/>
                <w:sz w:val="20"/>
              </w:rPr>
              <w:t>WA</w:t>
            </w:r>
          </w:p>
        </w:tc>
      </w:tr>
      <w:tr w14:paraId="4CDE495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69D184AF">
            <w:pPr>
              <w:jc w:val="center"/>
            </w:pPr>
            <w:r>
              <w:rPr>
                <w:sz w:val="20"/>
              </w:rPr>
              <w:t>英语</w:t>
            </w:r>
          </w:p>
        </w:tc>
        <w:tc>
          <w:tcPr>
            <w:tcW w:w="2767" w:type="dxa"/>
          </w:tcPr>
          <w:p w14:paraId="00467C55">
            <w:pPr>
              <w:jc w:val="center"/>
            </w:pPr>
            <w:r>
              <w:rPr>
                <w:sz w:val="20"/>
              </w:rPr>
              <w:t>泰卢固语</w:t>
            </w:r>
          </w:p>
        </w:tc>
        <w:tc>
          <w:tcPr>
            <w:tcW w:w="2767" w:type="dxa"/>
          </w:tcPr>
          <w:p w14:paraId="20400700">
            <w:pPr>
              <w:jc w:val="center"/>
            </w:pPr>
            <w:r>
              <w:rPr>
                <w:sz w:val="20"/>
              </w:rPr>
              <w:t>19.7%</w:t>
            </w:r>
          </w:p>
        </w:tc>
      </w:tr>
      <w:tr w14:paraId="04496E6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408513D3">
            <w:pPr>
              <w:jc w:val="center"/>
            </w:pPr>
            <w:r>
              <w:rPr>
                <w:sz w:val="20"/>
              </w:rPr>
              <w:t>泰卢固语</w:t>
            </w:r>
          </w:p>
        </w:tc>
        <w:tc>
          <w:tcPr>
            <w:tcW w:w="2767" w:type="dxa"/>
          </w:tcPr>
          <w:p w14:paraId="6DC2072B">
            <w:pPr>
              <w:jc w:val="center"/>
            </w:pPr>
            <w:r>
              <w:rPr>
                <w:sz w:val="20"/>
              </w:rPr>
              <w:t>英语</w:t>
            </w:r>
          </w:p>
        </w:tc>
        <w:tc>
          <w:tcPr>
            <w:tcW w:w="2767" w:type="dxa"/>
          </w:tcPr>
          <w:p w14:paraId="12D00A51">
            <w:pPr>
              <w:jc w:val="center"/>
            </w:pPr>
            <w:r>
              <w:rPr>
                <w:sz w:val="20"/>
              </w:rPr>
              <w:t>28.2%</w:t>
            </w:r>
          </w:p>
        </w:tc>
      </w:tr>
      <w:tr w14:paraId="54661F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767" w:type="dxa"/>
          </w:tcPr>
          <w:p w14:paraId="61AFAFD8">
            <w:pPr>
              <w:jc w:val="center"/>
            </w:pPr>
            <w:r>
              <w:rPr>
                <w:sz w:val="20"/>
              </w:rPr>
              <w:t>混合</w:t>
            </w:r>
          </w:p>
        </w:tc>
        <w:tc>
          <w:tcPr>
            <w:tcW w:w="2767" w:type="dxa"/>
          </w:tcPr>
          <w:p w14:paraId="59E2B5C8">
            <w:pPr>
              <w:jc w:val="center"/>
            </w:pPr>
            <w:r>
              <w:rPr>
                <w:sz w:val="20"/>
              </w:rPr>
              <w:t>混合</w:t>
            </w:r>
          </w:p>
        </w:tc>
        <w:tc>
          <w:tcPr>
            <w:tcW w:w="2767" w:type="dxa"/>
          </w:tcPr>
          <w:p w14:paraId="0A9408D5">
            <w:pPr>
              <w:jc w:val="center"/>
            </w:pPr>
            <w:r>
              <w:rPr>
                <w:sz w:val="20"/>
              </w:rPr>
              <w:t>81.2%</w:t>
            </w:r>
          </w:p>
        </w:tc>
      </w:tr>
    </w:tbl>
    <w:p w14:paraId="422532AF"/>
    <w:p w14:paraId="64DC78C3">
      <w:r>
        <w:t>语言偏移导致分类几乎完全失效（EN→TE 仅略高于随机水平）。英语与泰卢固语子集之间的 FD 实测为 16.48，高于增强引起的最大 FD（12.0），是三类偏移中最高的维度。即使 FD 差距不悬殊（16.5 vs 12.0），性能退化却极为严重（−61pp vs −33pp），提示语言偏移的影响超出 FD 所能捕获的分布差异，可能涉及更深层的声学-语义失配。</w:t>
      </w:r>
    </w:p>
    <w:p w14:paraId="0E428638">
      <w:pPr>
        <w:pStyle w:val="6"/>
      </w:pPr>
      <w:r>
        <w:t>4.7 逐类注意力分析</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075"/>
        <w:gridCol w:w="2075"/>
        <w:gridCol w:w="2075"/>
        <w:gridCol w:w="2075"/>
      </w:tblGrid>
      <w:tr w14:paraId="776818B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0AE4512F">
            <w:pPr>
              <w:jc w:val="center"/>
            </w:pPr>
            <w:r>
              <w:rPr>
                <w:b/>
                <w:sz w:val="20"/>
              </w:rPr>
              <w:t>情绪</w:t>
            </w:r>
          </w:p>
        </w:tc>
        <w:tc>
          <w:tcPr>
            <w:tcW w:w="2075" w:type="dxa"/>
          </w:tcPr>
          <w:p w14:paraId="6E2BECEB">
            <w:pPr>
              <w:jc w:val="center"/>
            </w:pPr>
            <w:r>
              <w:rPr>
                <w:b/>
                <w:sz w:val="20"/>
              </w:rPr>
              <w:t>注意力熵</w:t>
            </w:r>
          </w:p>
        </w:tc>
        <w:tc>
          <w:tcPr>
            <w:tcW w:w="2075" w:type="dxa"/>
          </w:tcPr>
          <w:p w14:paraId="55B2F3DB">
            <w:pPr>
              <w:jc w:val="center"/>
            </w:pPr>
            <w:r>
              <w:rPr>
                <w:b/>
                <w:sz w:val="20"/>
              </w:rPr>
              <w:t>WA</w:t>
            </w:r>
          </w:p>
        </w:tc>
        <w:tc>
          <w:tcPr>
            <w:tcW w:w="2075" w:type="dxa"/>
          </w:tcPr>
          <w:p w14:paraId="2FA20213">
            <w:pPr>
              <w:jc w:val="center"/>
            </w:pPr>
            <w:r>
              <w:rPr>
                <w:b/>
                <w:sz w:val="20"/>
              </w:rPr>
              <w:t>典型 F0 特征</w:t>
            </w:r>
          </w:p>
        </w:tc>
      </w:tr>
      <w:tr w14:paraId="062D94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0697AC17">
            <w:pPr>
              <w:jc w:val="center"/>
            </w:pPr>
            <w:r>
              <w:rPr>
                <w:sz w:val="20"/>
              </w:rPr>
              <w:t>ANGER</w:t>
            </w:r>
          </w:p>
        </w:tc>
        <w:tc>
          <w:tcPr>
            <w:tcW w:w="2075" w:type="dxa"/>
          </w:tcPr>
          <w:p w14:paraId="4A22BC1F">
            <w:pPr>
              <w:jc w:val="center"/>
            </w:pPr>
            <w:r>
              <w:rPr>
                <w:sz w:val="20"/>
              </w:rPr>
              <w:t>5.177</w:t>
            </w:r>
          </w:p>
        </w:tc>
        <w:tc>
          <w:tcPr>
            <w:tcW w:w="2075" w:type="dxa"/>
          </w:tcPr>
          <w:p w14:paraId="69184913">
            <w:pPr>
              <w:jc w:val="center"/>
            </w:pPr>
            <w:r>
              <w:rPr>
                <w:sz w:val="20"/>
              </w:rPr>
              <w:t>88.7%</w:t>
            </w:r>
          </w:p>
        </w:tc>
        <w:tc>
          <w:tcPr>
            <w:tcW w:w="2075" w:type="dxa"/>
          </w:tcPr>
          <w:p w14:paraId="4E31D1C7">
            <w:pPr>
              <w:jc w:val="center"/>
            </w:pPr>
            <w:r>
              <w:rPr>
                <w:sz w:val="20"/>
              </w:rPr>
              <w:t>高能量爆发</w:t>
            </w:r>
          </w:p>
        </w:tc>
      </w:tr>
      <w:tr w14:paraId="45E575D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613EDCC3">
            <w:pPr>
              <w:jc w:val="center"/>
            </w:pPr>
            <w:r>
              <w:rPr>
                <w:sz w:val="20"/>
              </w:rPr>
              <w:t>FEAR</w:t>
            </w:r>
          </w:p>
        </w:tc>
        <w:tc>
          <w:tcPr>
            <w:tcW w:w="2075" w:type="dxa"/>
          </w:tcPr>
          <w:p w14:paraId="4FA66B1E">
            <w:pPr>
              <w:jc w:val="center"/>
            </w:pPr>
            <w:r>
              <w:rPr>
                <w:sz w:val="20"/>
              </w:rPr>
              <w:t>5.174</w:t>
            </w:r>
          </w:p>
        </w:tc>
        <w:tc>
          <w:tcPr>
            <w:tcW w:w="2075" w:type="dxa"/>
          </w:tcPr>
          <w:p w14:paraId="7E6BF058">
            <w:pPr>
              <w:jc w:val="center"/>
            </w:pPr>
            <w:r>
              <w:rPr>
                <w:sz w:val="20"/>
              </w:rPr>
              <w:t>92.0%</w:t>
            </w:r>
          </w:p>
        </w:tc>
        <w:tc>
          <w:tcPr>
            <w:tcW w:w="2075" w:type="dxa"/>
          </w:tcPr>
          <w:p w14:paraId="5F810C7E">
            <w:pPr>
              <w:jc w:val="center"/>
            </w:pPr>
            <w:r>
              <w:rPr>
                <w:sz w:val="20"/>
              </w:rPr>
              <w:t>F0 剧烈波动</w:t>
            </w:r>
          </w:p>
        </w:tc>
      </w:tr>
      <w:tr w14:paraId="391A861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4BEED068">
            <w:pPr>
              <w:jc w:val="center"/>
            </w:pPr>
            <w:r>
              <w:rPr>
                <w:sz w:val="20"/>
              </w:rPr>
              <w:t>SAD</w:t>
            </w:r>
          </w:p>
        </w:tc>
        <w:tc>
          <w:tcPr>
            <w:tcW w:w="2075" w:type="dxa"/>
          </w:tcPr>
          <w:p w14:paraId="63989CA2">
            <w:pPr>
              <w:jc w:val="center"/>
            </w:pPr>
            <w:r>
              <w:rPr>
                <w:sz w:val="20"/>
              </w:rPr>
              <w:t>5.187</w:t>
            </w:r>
          </w:p>
        </w:tc>
        <w:tc>
          <w:tcPr>
            <w:tcW w:w="2075" w:type="dxa"/>
          </w:tcPr>
          <w:p w14:paraId="7040C1A4">
            <w:pPr>
              <w:jc w:val="center"/>
            </w:pPr>
            <w:r>
              <w:rPr>
                <w:sz w:val="20"/>
              </w:rPr>
              <w:t>81.4%</w:t>
            </w:r>
          </w:p>
        </w:tc>
        <w:tc>
          <w:tcPr>
            <w:tcW w:w="2075" w:type="dxa"/>
          </w:tcPr>
          <w:p w14:paraId="0DEFCBD8">
            <w:pPr>
              <w:jc w:val="center"/>
            </w:pPr>
            <w:r>
              <w:rPr>
                <w:sz w:val="20"/>
              </w:rPr>
              <w:t>低 F0 平台</w:t>
            </w:r>
          </w:p>
        </w:tc>
      </w:tr>
      <w:tr w14:paraId="3AEA0A5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7F39BC4A">
            <w:pPr>
              <w:jc w:val="center"/>
            </w:pPr>
            <w:r>
              <w:rPr>
                <w:sz w:val="20"/>
              </w:rPr>
              <w:t>DISGUST</w:t>
            </w:r>
          </w:p>
        </w:tc>
        <w:tc>
          <w:tcPr>
            <w:tcW w:w="2075" w:type="dxa"/>
          </w:tcPr>
          <w:p w14:paraId="2D2704DC">
            <w:pPr>
              <w:jc w:val="center"/>
            </w:pPr>
            <w:r>
              <w:rPr>
                <w:sz w:val="20"/>
              </w:rPr>
              <w:t>5.170</w:t>
            </w:r>
          </w:p>
        </w:tc>
        <w:tc>
          <w:tcPr>
            <w:tcW w:w="2075" w:type="dxa"/>
          </w:tcPr>
          <w:p w14:paraId="71419649">
            <w:pPr>
              <w:jc w:val="center"/>
            </w:pPr>
            <w:r>
              <w:rPr>
                <w:sz w:val="20"/>
              </w:rPr>
              <w:t>74.7%</w:t>
            </w:r>
          </w:p>
        </w:tc>
        <w:tc>
          <w:tcPr>
            <w:tcW w:w="2075" w:type="dxa"/>
          </w:tcPr>
          <w:p w14:paraId="6593BCBA">
            <w:pPr>
              <w:jc w:val="center"/>
            </w:pPr>
            <w:r>
              <w:rPr>
                <w:sz w:val="20"/>
              </w:rPr>
              <w:t>短促突兀</w:t>
            </w:r>
          </w:p>
        </w:tc>
      </w:tr>
      <w:tr w14:paraId="00B936A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7FE0D2D4">
            <w:pPr>
              <w:jc w:val="center"/>
            </w:pPr>
            <w:r>
              <w:rPr>
                <w:sz w:val="20"/>
              </w:rPr>
              <w:t>NEUTRAL</w:t>
            </w:r>
          </w:p>
        </w:tc>
        <w:tc>
          <w:tcPr>
            <w:tcW w:w="2075" w:type="dxa"/>
          </w:tcPr>
          <w:p w14:paraId="0750DC79">
            <w:pPr>
              <w:jc w:val="center"/>
            </w:pPr>
            <w:r>
              <w:rPr>
                <w:sz w:val="20"/>
              </w:rPr>
              <w:t>5.198</w:t>
            </w:r>
          </w:p>
        </w:tc>
        <w:tc>
          <w:tcPr>
            <w:tcW w:w="2075" w:type="dxa"/>
          </w:tcPr>
          <w:p w14:paraId="71FF8E69">
            <w:pPr>
              <w:jc w:val="center"/>
            </w:pPr>
            <w:r>
              <w:rPr>
                <w:sz w:val="20"/>
              </w:rPr>
              <w:t>77.9%</w:t>
            </w:r>
          </w:p>
        </w:tc>
        <w:tc>
          <w:tcPr>
            <w:tcW w:w="2075" w:type="dxa"/>
          </w:tcPr>
          <w:p w14:paraId="5E1A472F">
            <w:pPr>
              <w:jc w:val="center"/>
            </w:pPr>
            <w:r>
              <w:rPr>
                <w:sz w:val="20"/>
              </w:rPr>
              <w:t>F0/能量平坦</w:t>
            </w:r>
          </w:p>
        </w:tc>
      </w:tr>
      <w:tr w14:paraId="1B8A26A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075" w:type="dxa"/>
          </w:tcPr>
          <w:p w14:paraId="0440546C">
            <w:pPr>
              <w:jc w:val="center"/>
            </w:pPr>
            <w:r>
              <w:rPr>
                <w:sz w:val="20"/>
              </w:rPr>
              <w:t>HAPPY</w:t>
            </w:r>
          </w:p>
        </w:tc>
        <w:tc>
          <w:tcPr>
            <w:tcW w:w="2075" w:type="dxa"/>
          </w:tcPr>
          <w:p w14:paraId="69EDD347">
            <w:pPr>
              <w:jc w:val="center"/>
            </w:pPr>
            <w:r>
              <w:rPr>
                <w:sz w:val="20"/>
              </w:rPr>
              <w:t>5.200</w:t>
            </w:r>
          </w:p>
        </w:tc>
        <w:tc>
          <w:tcPr>
            <w:tcW w:w="2075" w:type="dxa"/>
          </w:tcPr>
          <w:p w14:paraId="29B0443A">
            <w:pPr>
              <w:jc w:val="center"/>
            </w:pPr>
            <w:r>
              <w:rPr>
                <w:sz w:val="20"/>
              </w:rPr>
              <w:t>73.1%</w:t>
            </w:r>
          </w:p>
        </w:tc>
        <w:tc>
          <w:tcPr>
            <w:tcW w:w="2075" w:type="dxa"/>
          </w:tcPr>
          <w:p w14:paraId="0F44B298">
            <w:pPr>
              <w:jc w:val="center"/>
            </w:pPr>
            <w:r>
              <w:rPr>
                <w:sz w:val="20"/>
              </w:rPr>
              <w:t>F0 变异性高但分散</w:t>
            </w:r>
          </w:p>
        </w:tc>
      </w:tr>
    </w:tbl>
    <w:p w14:paraId="4121098B"/>
    <w:p w14:paraId="25322BB0">
      <w:r>
        <w:t>注意力熵（越低 = 注意力越集中）与逐类准确率的 Pearson r = −0.52，但 6 类样本下未达统计显著（p = 0.30, Spearman ρ = −0.43, p = 0.40），因此本文将此作为探索性观察（exploratory observation）而非确证结论。具有时间集中韵律线索的情绪（ANGER、FEAR）准确率较高，而线索分散的情绪（HAPPY、NEUTRAL）准确率较低，提示可能有关联但需更大样本或更多情绪类别验证。</w:t>
      </w:r>
    </w:p>
    <w:p w14:paraId="790F4E44">
      <w:pPr>
        <w:pStyle w:val="6"/>
      </w:pPr>
      <w:r>
        <w:t>4.8 FD-准确率关系的跨维度观察</w:t>
      </w:r>
    </w:p>
    <w:p w14:paraId="70D8B271">
      <w:r>
        <w:t>将三个偏移维度所有数据点绘制在同一 FD-Accuracy 坐标中，观察到一致的跨维度单调趋势：FD 越大，准确率越低。这一趋势提示 FD 或可作为分布偏移风险指标——但需注意当前数据点有限（年龄 2 点、增强 4 点、语言 1 点），且语言偏移中 FD 与性能退化的非线性关系（FD 仅略大于增强，但性能退化远超增强）值得进一步研究。</w:t>
      </w:r>
    </w:p>
    <w:p w14:paraId="311D7E6F">
      <w:pPr>
        <w:pStyle w:val="5"/>
      </w:pPr>
      <w:r>
        <w:t>5. 讨论</w:t>
      </w:r>
    </w:p>
    <w:p w14:paraId="1B294CB2">
      <w:r>
        <w:t>为什么韵律池化对儿童的增益更大？ 从实测数据看，C-BESD 儿童 F0 中位数约 340 Hz（均值受 YIN 检测 artifact 影响偏高至 1068 Hz），约为 IEMOCAP 成人 F0 中位数（232 Hz）的 1.5 倍。儿童韵律的高变异性使帧级 F0/能量成为注意力加权的更有信息量的信号。对于 IEMOCAP 6 类结果为负、但 4 类结果为正这一现象，我们的分析是：DISGUST 和 FEAR 在自然对话中本身就难以仅靠声学韵律区分——移除后韵律池化的效果转正。这意味着之前将 IEMOCAP 的负结果归因于"自然 vs 指定表达"可能不够准确，更可能反映了某些情绪类别在自然对话场景中固有的声学歧义性。</w:t>
      </w:r>
    </w:p>
    <w:p w14:paraId="3BB4E578">
      <w:r>
        <w:t>实践建议：对于儿童按要求表达情绪的语音（如临床筛查、教育评估等场景），韵律引导池化是有效的轻量方案。对于自然对话场景中的情绪识别，目前方法仍有限。</w:t>
      </w:r>
    </w:p>
    <w:p w14:paraId="0369B83C">
      <w:pPr>
        <w:pStyle w:val="5"/>
      </w:pPr>
      <w:r>
        <w:t>6. 结论</w:t>
      </w:r>
    </w:p>
    <w:p w14:paraId="229A4407">
      <w:r>
        <w:t>本文在 C-BESD 儿童数据集上系统评估了冻结 SSL 表征在严格说话人独立条件下的表现。韵律引导时序池化在 C-BESD 上达到 80.9% WA / 80.8% UAR，B3 均值更高（81.5%）但方差更大，我们推荐更轻量稳定的 A3。跨数据集对比表明韵律池化收益与说话人年龄和情绪产生方式两个因素相关——在儿童指定表达语音上增益最明显，在成人 6 类自然对话上效果为负（但 4 类子集上为正）。在观察到的年龄、增强、语言三类偏移中，FD 与准确率退化呈一致的单调趋势，提示 FD 可作为分布偏移风险指标。我们希望通过本文的工作，吸引更多研究者关注儿童 SER 这一尚未被充分探索的方向。</w:t>
      </w:r>
    </w:p>
    <w:p w14:paraId="54242519">
      <w:r>
        <w:t>局限性：(1) C-BESD 为指定情绪表达，在自然发生的儿童语音上的泛化性有待验证；(2) 跨语言实验使用历史协议，需在统一协议下重跑；(3) 部分结论依赖少量数据点，统计检验需补全；(4) IEMOCAP 的 6 类映射与标准 4 类基准不完全可比。</w:t>
      </w:r>
    </w:p>
    <w:p w14:paraId="13320616">
      <w:pPr>
        <w:pStyle w:val="5"/>
      </w:pPr>
      <w:r>
        <w:t>参考文献</w:t>
      </w:r>
    </w:p>
    <w:p w14:paraId="01E3CDB9">
      <w:r>
        <w:t>[1] Chen, S., et al. "WavLM: Large-Scale Self-Supervised Pre-Training for Full Stack Speech Processing." IEEE SPL, 2022.</w:t>
      </w:r>
    </w:p>
    <w:p w14:paraId="06F98423">
      <w:r>
        <w:t>[2] Kakouros, S., et al. "Speech-Based Emotion Recognition with Self-Supervised Models Using Attentive Channel-Wise Correlations and Label Smoothing." arXiv:2211.01756, 2022.</w:t>
      </w:r>
    </w:p>
    <w:p w14:paraId="165966AC">
      <w:r>
        <w:t>[3] Phukan, O. C., et al. "A Comparative Study of Pre-trained Speech and Audio Embeddings for Speech Emotion Recognition." arXiv:2304.11472, 2023.</w:t>
      </w:r>
    </w:p>
    <w:p w14:paraId="52920014">
      <w:r>
        <w:t>[4] Fan, R., et al. "Benchmarking Children's ASR with Supervised and Self-supervised Speech Foundation Models." INTERSPEECH, 2024.</w:t>
      </w:r>
    </w:p>
    <w:p w14:paraId="0516DFC1">
      <w:r>
        <w:t>[5] Rao, D. V., et al. "Children's Speech Emotion Recognition Using Feature Fusion-Based Deep Neural Networks." IEEE INSPECT, 2024.</w:t>
      </w:r>
    </w:p>
    <w:p w14:paraId="584F3CB5">
      <w:r>
        <w:t>[6] Lesyk, E., et al. "Empathetic Deep Learning: Transferring Adult Speech Emotion Models to Children With Gender-Specific Adaptations Using Neural Embeddings." HCIS, 2024.</w:t>
      </w:r>
    </w:p>
    <w:p w14:paraId="01D84FC6">
      <w:r>
        <w:t>[7] Dong, J., et al. "Test-Time Adaptation for Speech Emotion Recognition." ICASSP, 2026.</w:t>
      </w:r>
    </w:p>
    <w:p w14:paraId="0F497783">
      <w:r>
        <w:t>[8] Lee, S., et al. "Child Speech Perception and Acoustic Analysis." J. Acoust. Soc. Am., 1999.</w:t>
      </w:r>
    </w:p>
    <w:sectPr>
      <w:pgSz w:w="11906" w:h="16838"/>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中文标题">
    <w:altName w:val="Segoe Print"/>
    <w:panose1 w:val="00000000000000000000"/>
    <w:charset w:val="00"/>
    <w:family w:val="auto"/>
    <w:pitch w:val="default"/>
    <w:sig w:usb0="00000000" w:usb1="00000000" w:usb2="00000000" w:usb3="00000000" w:csb0="00000000" w:csb1="00000000"/>
  </w:font>
  <w:font w:name="+西文标题">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ED0775"/>
    <w:rsid w:val="135C409A"/>
    <w:rsid w:val="1892555C"/>
    <w:rsid w:val="3C9B157A"/>
    <w:rsid w:val="6E3A59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ind w:firstLine="42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eastAsia="宋体" w:asciiTheme="majorAscii" w:hAnsiTheme="majorAscii" w:cstheme="majorBidi"/>
      <w:b/>
      <w:bCs/>
      <w:color w:val="000000" w:themeColor="text1"/>
      <w:sz w:val="28"/>
      <w:szCs w:val="28"/>
      <w14:textFill>
        <w14:solidFill>
          <w14:schemeClr w14:val="tx1"/>
        </w14:solidFill>
      </w14:textFill>
    </w:rPr>
  </w:style>
  <w:style w:type="paragraph" w:styleId="4">
    <w:name w:val="heading 2"/>
    <w:basedOn w:val="1"/>
    <w:next w:val="1"/>
    <w:link w:val="139"/>
    <w:unhideWhenUsed/>
    <w:qFormat/>
    <w:uiPriority w:val="9"/>
    <w:pPr>
      <w:keepNext/>
      <w:keepLines/>
      <w:spacing w:before="200" w:after="0"/>
      <w:outlineLvl w:val="1"/>
    </w:pPr>
    <w:rPr>
      <w:rFonts w:eastAsia="宋体" w:asciiTheme="majorAscii" w:hAnsiTheme="majorAscii" w:cstheme="majorBidi"/>
      <w:b/>
      <w:bCs/>
      <w:color w:val="000000" w:themeColor="text1"/>
      <w:sz w:val="26"/>
      <w:szCs w:val="26"/>
      <w14:textFill>
        <w14:solidFill>
          <w14:schemeClr w14:val="tx1"/>
        </w14:solidFill>
      </w14:textFill>
    </w:rPr>
  </w:style>
  <w:style w:type="paragraph" w:styleId="5">
    <w:name w:val="heading 3"/>
    <w:basedOn w:val="1"/>
    <w:next w:val="1"/>
    <w:link w:val="140"/>
    <w:unhideWhenUsed/>
    <w:qFormat/>
    <w:uiPriority w:val="9"/>
    <w:pPr>
      <w:keepNext/>
      <w:keepLines/>
      <w:spacing w:before="200" w:after="0"/>
      <w:outlineLvl w:val="2"/>
    </w:pPr>
    <w:rPr>
      <w:rFonts w:eastAsia="宋体" w:asciiTheme="majorAscii" w:hAnsiTheme="majorAscii"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eastAsia="宋体" w:asciiTheme="majorAscii" w:hAnsiTheme="majorAscii" w:cstheme="majorBidi"/>
      <w:b/>
      <w:bCs/>
      <w:i/>
      <w:iCs/>
      <w:color w:val="000000" w:themeColor="text1"/>
      <w14:textFill>
        <w14:solidFill>
          <w14:schemeClr w14:val="tx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000000" w:themeColor="text1"/>
      <w:sz w:val="18"/>
      <w:szCs w:val="18"/>
      <w14:textFill>
        <w14:solidFill>
          <w14:schemeClr w14:val="tx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eastAsia="宋体" w:asciiTheme="majorAscii" w:hAnsiTheme="majorAscii" w:cstheme="majorBidi"/>
      <w:b/>
      <w:bCs/>
      <w:color w:val="000000" w:themeColor="text1"/>
      <w:sz w:val="28"/>
      <w:szCs w:val="28"/>
      <w14:textFill>
        <w14:solidFill>
          <w14:schemeClr w14:val="tx1"/>
        </w14:solidFill>
      </w14:textFill>
    </w:rPr>
  </w:style>
  <w:style w:type="character" w:customStyle="1" w:styleId="139">
    <w:name w:val="Heading 2 Char"/>
    <w:basedOn w:val="132"/>
    <w:link w:val="4"/>
    <w:uiPriority w:val="9"/>
    <w:rPr>
      <w:rFonts w:eastAsia="宋体" w:asciiTheme="majorAscii" w:hAnsiTheme="majorAscii"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eastAsia="宋体" w:asciiTheme="majorAscii" w:hAnsiTheme="majorAscii"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eastAsia="宋体" w:asciiTheme="majorAscii" w:hAnsiTheme="majorAscii" w:cstheme="majorBidi"/>
      <w:b/>
      <w:bCs/>
      <w:i/>
      <w:iCs/>
      <w:color w:val="000000" w:themeColor="text1"/>
      <w14:textFill>
        <w14:solidFill>
          <w14:schemeClr w14:val="tx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2043</Words>
  <Characters>2582</Characters>
  <Lines>0</Lines>
  <Paragraphs>0</Paragraphs>
  <TotalTime>8</TotalTime>
  <ScaleCrop>false</ScaleCrop>
  <LinksUpToDate>false</LinksUpToDate>
  <CharactersWithSpaces>2833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ZiChao Xu</cp:lastModifiedBy>
  <dcterms:modified xsi:type="dcterms:W3CDTF">2026-05-04T14:44:08Z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eyJoZGlkIjoiMTlmZDE0NTBmYTJmZjJlNzY2Y2JmYWMwOTJkYWRjMTEiLCJ1c2VySWQiOiIxMzc0NDE4MDY2MDEifQ==</vt:lpwstr>
  </property>
  <property fmtid="{D5CDD505-2E9C-101B-9397-08002B2CF9AE}" pid="3" name="KSOProductBuildVer">
    <vt:lpwstr>2052-12.1.0.25862</vt:lpwstr>
  </property>
  <property fmtid="{D5CDD505-2E9C-101B-9397-08002B2CF9AE}" pid="4" name="ICV">
    <vt:lpwstr>EC3352FD084149CCB413982A986EB3B3_12</vt:lpwstr>
  </property>
</Properties>
</file>