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分布驱动的儿童语音情绪识别</w:t>
      </w:r>
    </w:p>
    <w:p>
      <w:pPr>
        <w:jc w:val="center"/>
      </w:pPr>
      <w:r>
        <w:rPr>
          <w:i/>
          <w:color w:val="646464"/>
          <w:sz w:val="24"/>
        </w:rPr>
        <w:t>INTERSPEECH / ICASSP 2026 — 工作初稿（中文版）</w:t>
      </w:r>
    </w:p>
    <w:p/>
    <w:p>
      <w:pPr>
        <w:pStyle w:val="Heading1"/>
      </w:pPr>
      <w:r>
        <w:t>摘要</w:t>
      </w:r>
    </w:p>
    <w:p>
      <w:r>
        <w:rPr>
          <w:b w:val="0"/>
          <w:i w:val="0"/>
          <w:sz w:val="22"/>
        </w:rPr>
        <w:t>儿童语音情绪识别系统通常在表演语料上训练，却部署于自然场景——此时发声细微、嘈杂且分布迥异。本文基于冻结 WavLM 特征、可学习层融合，以及严格参数对等的池化对比（每种池化头 111,105 个可训练参数），比较韵律引导时序重要性池化与纯自注意力池化。</w:t>
      </w:r>
    </w:p>
    <w:p>
      <w:r>
        <w:rPr>
          <w:b w:val="0"/>
          <w:i w:val="0"/>
          <w:sz w:val="22"/>
        </w:rPr>
        <w:t>在 C-BESD（表演儿童）、FAU Aibo（自发儿童）与 IEMOCAP（成人）上的六项实验表明：（1）表演→自发儿童语音的零样本迁移 WA 仅 18.70%，低于四分类随机基线，而域内表演性能达 92.78%，说明分布偏移是主要失败模式（FD=16.33）；（2）在强正则化的 FAU 自发语料上，韵律引导池化 WA 为 66.36%，与自注意力 66.18% 相当，起到抑制环境噪声过拟合的结构化正则作用；（3）在表演 C-BESD 上牺牲 1.48 个百分点准确率，可换取可解释性：注意力与帧级能量高度相关（APC_wav=0.698），支持临床可操作的决策说明。</w:t>
      </w:r>
    </w:p>
    <w:p>
      <w:r>
        <w:rPr>
          <w:b w:val="0"/>
          <w:i w:val="0"/>
          <w:sz w:val="22"/>
        </w:rPr>
        <w:t>我们认为，可部署的儿童 SER 应在自发语音上评估，并在准确率与可解释性之间做出显式权衡，而非仅追求表演语料排行榜。</w:t>
      </w:r>
    </w:p>
    <w:p>
      <w:pPr>
        <w:pStyle w:val="Heading1"/>
      </w:pPr>
      <w:r>
        <w:t>1  引言</w:t>
      </w:r>
    </w:p>
    <w:p>
      <w:r>
        <w:rPr>
          <w:b w:val="0"/>
          <w:i w:val="0"/>
          <w:sz w:val="22"/>
        </w:rPr>
        <w:t>语音情绪识别支撑教育、儿科医疗与人机交互等情感感知应用。儿童语音具有更宽的基频范围、不成熟的发音方式，且标注完备的自然语料稀缺，因此多数系统依赖录音室条件下的表演数据集——情绪表达往往夸张且声学模式高度原型化。</w:t>
      </w:r>
    </w:p>
    <w:p>
      <w:r>
        <w:rPr>
          <w:b w:val="0"/>
          <w:i w:val="0"/>
          <w:sz w:val="22"/>
        </w:rPr>
        <w:t>这造成隐蔽的有效性危机：在表演儿童语音上表现优异的模型，可能记忆的是数据集特有模式，而非可泛化的情感线索。当模型面对 FAU Aibo 等自然儿童–机器人交互语料时，性能可能灾难性崩溃，而领域仍普遍以域内表演准确率作为主要成功指标。</w:t>
      </w:r>
    </w:p>
    <w:p>
      <w:pPr>
        <w:pStyle w:val="Heading2"/>
      </w:pPr>
      <w:r>
        <w:t>1.1  动机：分布偏移是核心变量</w:t>
      </w:r>
    </w:p>
    <w:p>
      <w:r>
        <w:rPr>
          <w:b w:val="0"/>
          <w:i w:val="0"/>
          <w:sz w:val="22"/>
        </w:rPr>
        <w:t>WavLM 等自监督模型提供强大的帧级表示，但下游池化与正则化设计仍决定模型是提取情感相关信息，还是过拟合语料伪迹。均值池化丢失时序结构；无约束自注意力可在 768 维特征空间中任意加权，缺乏物理可解释性。儿童情感表达与韵律（音高起伏、能量突发、节奏不规则）密切相关。我们假设：以帧级 F0 与 RMS 显式条件化时序注意力，可加速学习、正则化嘈杂自发语音，并将决策锚定在可测声学事件上。</w:t>
      </w:r>
    </w:p>
    <w:p>
      <w:pPr>
        <w:pStyle w:val="Heading2"/>
      </w:pPr>
      <w:r>
        <w:t>1.2  本文贡献</w:t>
      </w:r>
    </w:p>
    <w:p>
      <w:pPr>
        <w:pStyle w:val="ListNumber"/>
      </w:pPr>
      <w:r>
        <w:rPr>
          <w:sz w:val="22"/>
        </w:rPr>
        <w:t>分布驱动评估协议：覆盖表演/自发儿童语料与成人语料，说话人独立划分，报告 WA 与 UAR。</w:t>
      </w:r>
    </w:p>
    <w:p>
      <w:pPr>
        <w:pStyle w:val="ListNumber"/>
      </w:pPr>
      <w:r>
        <w:rPr>
          <w:sz w:val="22"/>
        </w:rPr>
        <w:t>韵律引导时序重要性池化：与 111,105 参数的自注意力基线严格对等比较。</w:t>
      </w:r>
    </w:p>
    <w:p>
      <w:pPr>
        <w:pStyle w:val="ListNumber"/>
      </w:pPr>
      <w:r>
        <w:rPr>
          <w:sz w:val="22"/>
        </w:rPr>
        <w:t>量化表演–自发鸿沟：零样本 C-BESD→FAU 仅 18.70% WA；FD 与准确率呈单调反相关。</w:t>
      </w:r>
    </w:p>
    <w:p>
      <w:pPr>
        <w:pStyle w:val="ListNumber"/>
      </w:pPr>
      <w:r>
        <w:rPr>
          <w:sz w:val="22"/>
        </w:rPr>
        <w:t>准确率–可解释性权衡：APC_wav=0.698，为在表演数据上牺牲 1.48pp WA 提供依据。</w:t>
      </w:r>
    </w:p>
    <w:p>
      <w:pPr>
        <w:pStyle w:val="Heading1"/>
      </w:pPr>
      <w:r>
        <w:t>2  相关工作</w:t>
      </w:r>
    </w:p>
    <w:p>
      <w:r>
        <w:rPr>
          <w:b/>
          <w:sz w:val="22"/>
        </w:rPr>
        <w:t>自监督表示与 SER。</w:t>
      </w:r>
      <w:r>
        <w:rPr>
          <w:sz w:val="22"/>
        </w:rPr>
        <w:t>WavLM、HuBERT 及 emotion2vec 等模型已取代手工特征；中层 Transformer 往往携带更多情感判别信息，支持可学习层融合。</w:t>
      </w:r>
    </w:p>
    <w:p>
      <w:r>
        <w:rPr>
          <w:b/>
          <w:sz w:val="22"/>
        </w:rPr>
        <w:t>时序池化与注意力。</w:t>
      </w:r>
      <w:r>
        <w:rPr>
          <w:sz w:val="22"/>
        </w:rPr>
        <w:t>注意力池化仅在 SSL 特征空间操作；本文注入帧对齐 F0/能量先验，并与参数对等的自注意力消融对比。</w:t>
      </w:r>
    </w:p>
    <w:p>
      <w:r>
        <w:rPr>
          <w:b/>
          <w:sz w:val="22"/>
        </w:rPr>
        <w:t>儿童语料与偏差。</w:t>
      </w:r>
      <w:r>
        <w:rPr>
          <w:sz w:val="22"/>
        </w:rPr>
        <w:t>C-BESD 与 FAU Aibo 代表表演与自然两种范式；本文用 FD 与 SMMD 量化跨域偏移。</w:t>
      </w:r>
    </w:p>
    <w:p>
      <w:r>
        <w:rPr>
          <w:b/>
          <w:sz w:val="22"/>
        </w:rPr>
        <w:t>可解释性。</w:t>
      </w:r>
      <w:r>
        <w:rPr>
          <w:sz w:val="22"/>
        </w:rPr>
        <w:t>APC 指标衡量注意力与物理韵律的相关性，适合临床审查场景。</w:t>
      </w:r>
    </w:p>
    <w:p>
      <w:pPr>
        <w:pStyle w:val="Heading1"/>
      </w:pPr>
      <w:r>
        <w:t>3  方法</w:t>
      </w:r>
    </w:p>
    <w:p>
      <w:r>
        <w:rPr>
          <w:b w:val="0"/>
          <w:i w:val="0"/>
          <w:sz w:val="22"/>
        </w:rPr>
        <w:t>本文提出一种分布驱动的儿童语音情绪识别框架，以韵律引导时序重要性池化（Prosody-Guided Temporal Importance Pooling）替代传统的均值池化范式。该注意力机制显式地以帧级声学韵律特征为条件，引导模型关注情感显著帧。完整流水线包含四个阶段：(1) 冻结的自监督预训练骨干网络；(2) 可学习的层融合；(3) 韵律引导池化或自注意力池化；(4) SE-MLP 分类器。</w:t>
      </w:r>
    </w:p>
    <w:p>
      <w:pPr>
        <w:pStyle w:val="Heading2"/>
      </w:pPr>
      <w:r>
        <w:t>3.1  冻结的自监督骨干网络</w:t>
      </w:r>
    </w:p>
    <w:p>
      <w:r>
        <w:rPr>
          <w:b w:val="0"/>
          <w:i w:val="0"/>
          <w:sz w:val="22"/>
        </w:rPr>
        <w:t>本文采用 WavLM Base+（Chen et al., 2022；参数量约 9400 万）作为冻结的特征提取器。给定采样率为 16 kHz 的原始波形 x，模型输出 13 个隐藏状态张量：1 个输入嵌入层加 12 个 Transformer 层，每层形状为 (T, 768)，帧率为 50 Hz（帧移 320 个采样点 = 20 ms）。训练过程中骨干网络的所有参数完全冻结，不回传任何梯度。</w:t>
      </w:r>
    </w:p>
    <w:p>
      <w:pPr>
        <w:pStyle w:val="Heading2"/>
      </w:pPr>
      <w:r>
        <w:t>3.2  可学习加权层融合</w:t>
      </w:r>
    </w:p>
    <w:p>
      <w:r>
        <w:rPr>
          <w:b w:val="0"/>
          <w:i w:val="0"/>
          <w:sz w:val="22"/>
        </w:rPr>
        <w:t>Transformer 的不同层编码不同层次的抽象信息——低层捕获声学细节，高层捕获更高层次的语义和情感内容（Pasad et al., 2021）。本文不选择单一层输出，而是学习一个加权组合：</w:t>
      </w:r>
    </w:p>
    <w:p>
      <w:r>
        <w:rPr>
          <w:b w:val="0"/>
          <w:i/>
          <w:color w:val="505050"/>
          <w:sz w:val="20"/>
        </w:rPr>
        <w:t>H = Σ(l=1..12) w_l · H^(l)，其中 w_l = exp(α_l) / Σ_j exp(α_j)</w:t>
      </w:r>
    </w:p>
    <w:p>
      <w:r>
        <w:rPr>
          <w:b w:val="0"/>
          <w:i w:val="0"/>
          <w:sz w:val="22"/>
        </w:rPr>
        <w:t>其中 {α_l} 为可训练标量参数，初始化为 1/12。第 0 层（输入嵌入）被丢弃，仅保留 12 个 Transformer 层的输出。此步骤仅引入 12 个可训练参数，相较于池化头和分类器可忽略不计。</w:t>
      </w:r>
    </w:p>
    <w:p>
      <w:pPr>
        <w:pStyle w:val="Heading2"/>
      </w:pPr>
      <w:r>
        <w:t>3.3  韵律引导时序重要性池化</w:t>
      </w:r>
    </w:p>
    <w:p>
      <w:r>
        <w:rPr>
          <w:b/>
          <w:sz w:val="22"/>
        </w:rPr>
        <w:t>动机。</w:t>
      </w:r>
      <w:r>
        <w:rPr>
          <w:sz w:val="22"/>
        </w:rPr>
        <w:t>儿童情感语音表现出比成人更大的 F0 变化幅度（250–400 Hz vs. 成人 80–200 Hz）、不规则的语速节奏以及更高的能量变异性（Fan et al., 2024）。标准注意力池化仅从 SSL 特征空间计算帧重要性，缺乏显式机制来优先关注韵律显著帧。我们假设：将帧级韵律信号作为归纳偏置注入，将有助于 (a) 通过缩小有效注意力模式的搜索空间来加速收敛；(b) 通过将注意力锚定在可物理测量的声学事件上来提升可解释性。</w:t>
      </w:r>
    </w:p>
    <w:p>
      <w:r>
        <w:rPr>
          <w:b/>
          <w:sz w:val="22"/>
        </w:rPr>
        <w:t>韵律特征提取。</w:t>
      </w:r>
      <w:r>
        <w:rPr>
          <w:sz w:val="22"/>
        </w:rPr>
        <w:t>对每条语音，使用 librosa（McFee et al., 2015）提取与 SSL 帧对齐的 F0 和 RMS 能量：</w:t>
      </w:r>
    </w:p>
    <w:p>
      <w:pPr>
        <w:pStyle w:val="ListBullet"/>
      </w:pPr>
      <w:r>
        <w:rPr>
          <w:sz w:val="22"/>
        </w:rPr>
        <w:t>F0：采用 YIN 算法（fmin = 65 Hz，fmax = 2093 Hz 以覆盖儿童高频 F0 范围），帧移 320 个采样点。非浊音帧设为 F0 = 0。</w:t>
      </w:r>
    </w:p>
    <w:p>
      <w:pPr>
        <w:pStyle w:val="ListBullet"/>
      </w:pPr>
      <w:r>
        <w:rPr>
          <w:sz w:val="22"/>
        </w:rPr>
        <w:t>RMS 能量：采用相同帧移计算均方根能量。</w:t>
      </w:r>
    </w:p>
    <w:p>
      <w:r>
        <w:rPr>
          <w:b w:val="0"/>
          <w:i w:val="0"/>
          <w:sz w:val="22"/>
        </w:rPr>
        <w:t>当韵律帧数与 SSL 帧数存在微小差异时，通过线性插值进行对齐。</w:t>
      </w:r>
    </w:p>
    <w:p>
      <w:r>
        <w:rPr>
          <w:b/>
          <w:sz w:val="22"/>
        </w:rPr>
        <w:t>归一化。</w:t>
      </w:r>
      <w:r>
        <w:rPr>
          <w:sz w:val="22"/>
        </w:rPr>
        <w:t>F0 除以 fmax 上限进行归一化：f̂_t = f_t / 2093。能量在每条语音内按最大帧能量归一化：ê_t = e_t / max_τ{e_τ}。由此得到两个取值范围在 [0, 1] 的信号，拼接为每帧 2 维的韵律向量。</w:t>
      </w:r>
    </w:p>
    <w:p>
      <w:r>
        <w:rPr>
          <w:b/>
          <w:sz w:val="22"/>
        </w:rPr>
        <w:t>网络结构。</w:t>
      </w:r>
      <w:r>
        <w:rPr>
          <w:sz w:val="22"/>
        </w:rPr>
        <w:t>韵律向量通过两层 MLP 投影为 64 维嵌入：</w:t>
      </w:r>
    </w:p>
    <w:p>
      <w:r>
        <w:rPr>
          <w:b w:val="0"/>
          <w:i/>
          <w:color w:val="505050"/>
          <w:sz w:val="20"/>
        </w:rPr>
        <w:t>p_t = Linear(64→64)( ReLU( Linear(2→64)([f̂_t, ê_t]) ) )</w:t>
      </w:r>
    </w:p>
    <w:p>
      <w:r>
        <w:rPr>
          <w:b w:val="0"/>
          <w:i w:val="0"/>
          <w:sz w:val="22"/>
        </w:rPr>
        <w:t>该嵌入与 SSL 帧特征 h_t ∈ ℝ^768 拼接，形成 832 维联合表示，送入融合注意力头：</w:t>
      </w:r>
    </w:p>
    <w:p>
      <w:r>
        <w:rPr>
          <w:b w:val="0"/>
          <w:i/>
          <w:color w:val="505050"/>
          <w:sz w:val="20"/>
        </w:rPr>
        <w:t>α_t = softmax_t( Linear(128→1)( tanh( Linear(832→128)([h_t; p_t]) ) ) )</w:t>
      </w:r>
    </w:p>
    <w:p>
      <w:r>
        <w:rPr>
          <w:b w:val="0"/>
          <w:i w:val="0"/>
          <w:sz w:val="22"/>
        </w:rPr>
        <w:t>最终的语音级表示为注意力加权求和：</w:t>
      </w:r>
    </w:p>
    <w:p>
      <w:r>
        <w:rPr>
          <w:b w:val="0"/>
          <w:i/>
          <w:color w:val="505050"/>
          <w:sz w:val="20"/>
        </w:rPr>
        <w:t>u = Σ_t α_t · h_t ∈ ℝ^768</w:t>
      </w:r>
    </w:p>
    <w:p>
      <w:r>
        <w:rPr>
          <w:b w:val="0"/>
          <w:i w:val="0"/>
          <w:sz w:val="22"/>
        </w:rPr>
        <w:t>需要强调的是，加权求和仅作用于 SSL 特征 h_t；韵律嵌入影响注意力权重的分配，但不改变特征空间本身。</w:t>
      </w:r>
    </w:p>
    <w:p>
      <w:r>
        <w:rPr>
          <w:b/>
          <w:sz w:val="22"/>
        </w:rPr>
        <w:t>可选 Dropout。</w:t>
      </w:r>
      <w:r>
        <w:rPr>
          <w:sz w:val="22"/>
        </w:rPr>
        <w:t>对于存在快速过拟合现象的自发语音实验（见第 4.2 节），在韵律投影的 ReLU 之后和融合头的 Tanh 之后分别插入 Dropout 层（p = 0.3），由正则化配置文件（reg_profile）超参数控制。</w:t>
      </w:r>
    </w:p>
    <w:p>
      <w:pPr>
        <w:pStyle w:val="Heading2"/>
      </w:pPr>
      <w:r>
        <w:t>3.4  自注意力池化（消融基线）</w:t>
      </w:r>
    </w:p>
    <w:p>
      <w:r>
        <w:rPr>
          <w:b w:val="0"/>
          <w:i w:val="0"/>
          <w:sz w:val="22"/>
        </w:rPr>
        <w:t>为了分离韵律注入的贡献，我们设计了一个严格参数对等的基线。自注意力池化仅使用 SSL 特征计算注意力权重，不引入任何韵律信息：</w:t>
      </w:r>
    </w:p>
    <w:p>
      <w:r>
        <w:rPr>
          <w:b w:val="0"/>
          <w:i/>
          <w:color w:val="505050"/>
          <w:sz w:val="20"/>
        </w:rPr>
        <w:t>α_t^SA = softmax_t( Linear(100→1)( tanh( Linear(100→100)( ReLU( Linear(116→100)( ReLU( Linear(768→116)(h_t) ) ) ) ) ) ) )</w:t>
      </w:r>
    </w:p>
    <w:p>
      <w:r>
        <w:rPr>
          <w:b w:val="0"/>
          <w:i w:val="0"/>
          <w:sz w:val="22"/>
        </w:rPr>
        <w:t>四层 MLP 的维度设计（768→116→100→100→1）经过精确计算，使总参数量恰好等于 111,105——与韵律引导变体完全一致。</w:t>
      </w:r>
    </w:p>
    <w:p>
      <w:r>
        <w:rPr>
          <w:b/>
          <w:sz w:val="22"/>
        </w:rPr>
        <w:t>参数对等性证明。</w:t>
      </w:r>
      <w:r>
        <w:rPr>
          <w:sz w:val="22"/>
        </w:rPr>
      </w:r>
    </w:p>
    <w:p>
      <w:r>
        <w:rPr>
          <w:b w:val="0"/>
          <w:i w:val="0"/>
          <w:sz w:val="22"/>
        </w:rPr>
        <w:t>韵律引导池化：(2×64+64) + (64×64+64) + (832×128+128) + (128×1+1) = 111,105</w:t>
      </w:r>
    </w:p>
    <w:p>
      <w:r>
        <w:rPr>
          <w:b w:val="0"/>
          <w:i w:val="0"/>
          <w:sz w:val="22"/>
        </w:rPr>
        <w:t>自注意力池化：(768×116+116) + (116×100+100) + (100×100+100) + (100×1+1) = 111,105</w:t>
      </w:r>
    </w:p>
    <w:p>
      <w:r>
        <w:rPr>
          <w:b w:val="0"/>
          <w:i w:val="0"/>
          <w:sz w:val="22"/>
        </w:rPr>
        <w:t>该严格的参数对等性确保两种池化变体之间的任何性能差异均可完全归因于韵律归纳偏置本身，而非模型容量的差异。</w:t>
      </w:r>
    </w:p>
    <w:p>
      <w:pPr>
        <w:pStyle w:val="Heading2"/>
      </w:pPr>
      <w:r>
        <w:t>3.5  SE-MLP 分类器</w:t>
      </w:r>
    </w:p>
    <w:p>
      <w:r>
        <w:rPr>
          <w:b w:val="0"/>
          <w:i w:val="0"/>
          <w:sz w:val="22"/>
        </w:rPr>
        <w:t>池化后的表示 u ∈ ℝ^768 由一个 4 层 SE-MLP（Squeeze-and-Excitation MLP，约 593K 参数）分类：</w:t>
      </w:r>
    </w:p>
    <w:p>
      <w:r>
        <w:rPr>
          <w:b w:val="0"/>
          <w:i/>
          <w:color w:val="505050"/>
          <w:sz w:val="20"/>
        </w:rPr>
        <w:t>768 → [Linear+BN+ReLU+Drop] → 512 → [SE-gate] → 512 → [Linear+BN+ReLU+Drop] → 256 → [Linear+ReLU+Drop] → 128 → [Linear] → C</w:t>
      </w:r>
    </w:p>
    <w:p>
      <w:r>
        <w:rPr>
          <w:b w:val="0"/>
          <w:i w:val="0"/>
          <w:sz w:val="22"/>
        </w:rPr>
        <w:t>其中 C = 4（愤怒、高兴、中性、悲伤）。SE 模块通过瓶颈结构（512→32→512）和 Sigmoid 激活实现通道级门控。</w:t>
      </w:r>
    </w:p>
    <w:p>
      <w:pPr>
        <w:pStyle w:val="Heading2"/>
      </w:pPr>
      <w:r>
        <w:t>3.6  训练配置</w:t>
      </w:r>
    </w:p>
    <w:p>
      <w:r>
        <w:rPr>
          <w:b/>
          <w:sz w:val="22"/>
        </w:rPr>
        <w:t>优化器。</w:t>
      </w:r>
      <w:r>
        <w:rPr>
          <w:sz w:val="22"/>
        </w:rPr>
        <w:t>AdamW 优化器，学习率 3×10⁻⁴，余弦退火调度。最大训练 100 个 epoch，早停耐心值为 15。所有实验使用种子 42 以确保可复现性。</w:t>
      </w:r>
    </w:p>
    <w:p>
      <w:r>
        <w:rPr>
          <w:b/>
          <w:sz w:val="22"/>
        </w:rPr>
        <w:t>正则化配置。</w:t>
      </w:r>
      <w:r>
        <w:rPr>
          <w:sz w:val="22"/>
        </w:rPr>
        <w:t>我们定义两种配置文件，以应对表演语音与自发语音截然不同的过拟合模式：</w:t>
      </w:r>
    </w:p>
    <w:p>
      <w:pPr>
        <w:pStyle w:val="ListBullet"/>
      </w:pPr>
      <w:r>
        <w:rPr>
          <w:sz w:val="22"/>
        </w:rPr>
        <w:t>Default（表演语料：C-BESD、IEMOCAP）：权重衰减 10⁻³，标签平滑 0.1，无池化层 Dropout，无梯度裁剪。</w:t>
      </w:r>
    </w:p>
    <w:p>
      <w:pPr>
        <w:pStyle w:val="ListBullet"/>
      </w:pPr>
      <w:r>
        <w:rPr>
          <w:sz w:val="22"/>
        </w:rPr>
        <w:t>FAU（自发语料 FAU Aibo）：权重衰减 5×10⁻³，标签平滑 0.15，池化层 Dropout 0.3，梯度裁剪范数 1.0。</w:t>
      </w:r>
    </w:p>
    <w:p>
      <w:r>
        <w:rPr>
          <w:b w:val="0"/>
          <w:i w:val="0"/>
          <w:sz w:val="22"/>
        </w:rPr>
        <w:t>更强的 FAU 配置源于预实验观察：在未加正则化的条件下，两种池化变体均在第 1 个 epoch 即达到峰值，随后迅速退化。</w:t>
      </w:r>
    </w:p>
    <w:p>
      <w:r>
        <w:rPr>
          <w:b/>
          <w:sz w:val="22"/>
        </w:rPr>
        <w:t>说话人独立划分。</w:t>
      </w:r>
      <w:r>
        <w:rPr>
          <w:sz w:val="22"/>
        </w:rPr>
        <w:t>所有数据集在说话人级别进行划分，采用确定性 MD5 哈希：将每个说话人 ID 哈希映射到 [0, 1) 区间，按阈值分配至训练集（70%）、验证集（15%）和测试集（15%）。该方案保证划分间零说话人重叠，并在不同机器上完全可复现。</w:t>
      </w:r>
    </w:p>
    <w:p>
      <w:r>
        <w:rPr>
          <w:b/>
          <w:sz w:val="22"/>
        </w:rPr>
        <w:t>评价指标。</w:t>
      </w:r>
      <w:r>
        <w:rPr>
          <w:sz w:val="22"/>
        </w:rPr>
        <w:t>以加权准确率（WA, Weighted Accuracy）为主要指标，同时报告未加权平均召回率（UAR, Unweighted Average Recall）以反映类别不平衡下的性能。</w:t>
      </w:r>
    </w:p>
    <w:p>
      <w:pPr>
        <w:pStyle w:val="Heading2"/>
      </w:pPr>
      <w:r>
        <w:t>3.7  可解释性：注意力-韵律相关性（APC）</w:t>
      </w:r>
    </w:p>
    <w:p>
      <w:r>
        <w:rPr>
          <w:b w:val="0"/>
          <w:i w:val="0"/>
          <w:sz w:val="22"/>
        </w:rPr>
        <w:t>为量化韵律引导注意力的可解释性，本文定义注意力-韵律相关性（APC）指标。对每条测试语音，计算学习到的注意力权重向量 α ∈ ℝ^T 与韵律参考信号之间的 Pearson 相关系数：</w:t>
      </w:r>
    </w:p>
    <w:p>
      <w:pPr>
        <w:pStyle w:val="ListBullet"/>
      </w:pPr>
      <w:r>
        <w:rPr>
          <w:sz w:val="22"/>
        </w:rPr>
        <w:t>APC_wav：注意力权重与帧级 RMS 能量的相关性（衡量注意力是否跟踪语音强度）。</w:t>
      </w:r>
    </w:p>
    <w:p>
      <w:pPr>
        <w:pStyle w:val="ListBullet"/>
      </w:pPr>
      <w:r>
        <w:rPr>
          <w:sz w:val="22"/>
        </w:rPr>
        <w:t>APC_δ：注意力权重与帧级 |ΔF0| 的相关性（衡量注意力是否跟踪音高变化）。</w:t>
      </w:r>
    </w:p>
    <w:p>
      <w:r>
        <w:rPr>
          <w:b w:val="0"/>
          <w:i w:val="0"/>
          <w:sz w:val="22"/>
        </w:rPr>
        <w:t>数值在所有测试语音上取平均。较高的 APC_wav 表明模型的决策过程扎根于可物理解释的声学事件，具备事后临床解释的潜力。</w:t>
      </w:r>
    </w:p>
    <w:p>
      <w:pPr>
        <w:pStyle w:val="Heading1"/>
      </w:pPr>
      <w:r>
        <w:t>4  实验与结果</w:t>
      </w:r>
    </w:p>
    <w:p>
      <w:pPr>
        <w:pStyle w:val="Heading2"/>
      </w:pPr>
      <w:r>
        <w:t>4.1  实验协议</w:t>
      </w:r>
    </w:p>
    <w:p>
      <w:r>
        <w:rPr>
          <w:b w:val="0"/>
          <w:i w:val="0"/>
          <w:sz w:val="22"/>
        </w:rPr>
        <w:t>所有实验在统一的四类情绪空间（愤怒/高兴/中性/悲伤）上进行评估，以加权准确率（WA）和未加权平均召回率（UAR）为主要指标。骨干网络为冻结的 WavLM Base+，其上接可学习 12 层加权求和，之后为两种参数对等的池化头之一（各 111,105 个参数），最后是 SEMLP 分类器（约 590K 参数）。</w:t>
      </w:r>
    </w:p>
    <w:p>
      <w:r>
        <w:rPr>
          <w:b w:val="0"/>
          <w:i w:val="0"/>
          <w:sz w:val="22"/>
        </w:rPr>
        <w:t>采用两种正则化配置文件。Default 配置（权重衰减 10⁻³，标签平滑 0.1，无池化 Dropout）用于表演语料（C-BESD、IEMOCAP），以保持与已有基线的严格可比性。FAU 配置（权重衰减 5×10⁻³，标签平滑 0.15，池化 Dropout 0.3，梯度裁剪 1.0）用于自发语料 FAU Aibo 的实验，针对预实验中观察到的快速过拟合问题。</w:t>
      </w:r>
    </w:p>
    <w:p>
      <w:r>
        <w:rPr>
          <w:b w:val="0"/>
          <w:i w:val="0"/>
          <w:sz w:val="22"/>
        </w:rPr>
        <w:t>所有划分均为说话人独立（70/15/15，确定性 MD5 哈希）。</w:t>
      </w:r>
    </w:p>
    <w:p>
      <w:pPr>
        <w:pStyle w:val="Heading2"/>
      </w:pPr>
      <w:r>
        <w:t>4.2  主要结果</w:t>
      </w:r>
    </w:p>
    <w:p>
      <w:r>
        <w:rPr>
          <w:b w:val="0"/>
          <w:i w:val="0"/>
          <w:sz w:val="22"/>
        </w:rPr>
        <w:t>表 1 展示了覆盖三个语料库、两种池化变体和两种语音条件的完整消融矩阵。</w:t>
      </w:r>
    </w:p>
    <w:p>
      <w:r>
        <w:rPr>
          <w:b/>
          <w:sz w:val="20"/>
        </w:rPr>
        <w:t>表 1：完整实验矩阵。"正则化"列表示所用的正则化配置。每组语料对中最优 WA 以粗体标注。</w:t>
      </w:r>
    </w:p>
    <w:tbl>
      <w:tblPr>
        <w:tblStyle w:val="LightShading-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实验</w:t>
            </w:r>
          </w:p>
        </w:tc>
        <w:tc>
          <w:tcPr>
            <w:tcW w:type="dxa" w:w="1080"/>
          </w:tcPr>
          <w:p>
            <w:r>
              <w:rPr>
                <w:b/>
                <w:sz w:val="18"/>
              </w:rPr>
              <w:t>训练集</w:t>
            </w:r>
          </w:p>
        </w:tc>
        <w:tc>
          <w:tcPr>
            <w:tcW w:type="dxa" w:w="1080"/>
          </w:tcPr>
          <w:p>
            <w:r>
              <w:rPr>
                <w:b/>
                <w:sz w:val="18"/>
              </w:rPr>
              <w:t>测试集</w:t>
            </w:r>
          </w:p>
        </w:tc>
        <w:tc>
          <w:tcPr>
            <w:tcW w:type="dxa" w:w="1080"/>
          </w:tcPr>
          <w:p>
            <w:r>
              <w:rPr>
                <w:b/>
                <w:sz w:val="18"/>
              </w:rPr>
              <w:t>池化方式</w:t>
            </w:r>
          </w:p>
        </w:tc>
        <w:tc>
          <w:tcPr>
            <w:tcW w:type="dxa" w:w="1080"/>
          </w:tcPr>
          <w:p>
            <w:r>
              <w:rPr>
                <w:b/>
                <w:sz w:val="18"/>
              </w:rPr>
              <w:t>正则化</w:t>
            </w:r>
          </w:p>
        </w:tc>
        <w:tc>
          <w:tcPr>
            <w:tcW w:type="dxa" w:w="1080"/>
          </w:tcPr>
          <w:p>
            <w:r>
              <w:rPr>
                <w:b/>
                <w:sz w:val="18"/>
              </w:rPr>
              <w:t>WA (%)</w:t>
            </w:r>
          </w:p>
        </w:tc>
        <w:tc>
          <w:tcPr>
            <w:tcW w:type="dxa" w:w="1080"/>
          </w:tcPr>
          <w:p>
            <w:r>
              <w:rPr>
                <w:b/>
                <w:sz w:val="18"/>
              </w:rPr>
              <w:t>UAR (%)</w:t>
            </w:r>
          </w:p>
        </w:tc>
        <w:tc>
          <w:tcPr>
            <w:tcW w:type="dxa" w:w="1080"/>
          </w:tcPr>
          <w:p>
            <w:r>
              <w:rPr>
                <w:b/>
                <w:sz w:val="18"/>
              </w:rPr>
              <w:t>最佳Epoch</w:t>
            </w:r>
          </w:p>
        </w:tc>
      </w:tr>
      <w:tr>
        <w:tc>
          <w:tcPr>
            <w:tcW w:type="dxa" w:w="1080"/>
          </w:tcPr>
          <w:p>
            <w:r>
              <w:rPr>
                <w:sz w:val="18"/>
              </w:rPr>
              <w:t>Exp1</w:t>
            </w:r>
          </w:p>
        </w:tc>
        <w:tc>
          <w:tcPr>
            <w:tcW w:type="dxa" w:w="1080"/>
          </w:tcPr>
          <w:p>
            <w:r>
              <w:rPr>
                <w:sz w:val="18"/>
              </w:rPr>
              <w:t>C-BESD</w:t>
            </w:r>
          </w:p>
        </w:tc>
        <w:tc>
          <w:tcPr>
            <w:tcW w:type="dxa" w:w="1080"/>
          </w:tcPr>
          <w:p>
            <w:r>
              <w:rPr>
                <w:sz w:val="18"/>
              </w:rPr>
              <w:t>C-BESD</w:t>
            </w:r>
          </w:p>
        </w:tc>
        <w:tc>
          <w:tcPr>
            <w:tcW w:type="dxa" w:w="1080"/>
          </w:tcPr>
          <w:p>
            <w:r>
              <w:rPr>
                <w:sz w:val="18"/>
              </w:rPr>
              <w:t>自注意力</w:t>
            </w:r>
          </w:p>
        </w:tc>
        <w:tc>
          <w:tcPr>
            <w:tcW w:type="dxa" w:w="1080"/>
          </w:tcPr>
          <w:p>
            <w:r>
              <w:rPr>
                <w:sz w:val="18"/>
              </w:rPr>
              <w:t>default</w:t>
            </w:r>
          </w:p>
        </w:tc>
        <w:tc>
          <w:tcPr>
            <w:tcW w:type="dxa" w:w="1080"/>
          </w:tcPr>
          <w:p>
            <w:r>
              <w:rPr>
                <w:sz w:val="18"/>
              </w:rPr>
              <w:t>92.78</w:t>
            </w:r>
          </w:p>
        </w:tc>
        <w:tc>
          <w:tcPr>
            <w:tcW w:type="dxa" w:w="1080"/>
          </w:tcPr>
          <w:p>
            <w:r>
              <w:rPr>
                <w:sz w:val="18"/>
              </w:rPr>
              <w:t>92.79</w:t>
            </w:r>
          </w:p>
        </w:tc>
        <w:tc>
          <w:tcPr>
            <w:tcW w:type="dxa" w:w="1080"/>
          </w:tcPr>
          <w:p>
            <w:r>
              <w:rPr>
                <w:sz w:val="18"/>
              </w:rPr>
              <w:t>30</w:t>
            </w:r>
          </w:p>
        </w:tc>
      </w:tr>
      <w:tr>
        <w:tc>
          <w:tcPr>
            <w:tcW w:type="dxa" w:w="1080"/>
          </w:tcPr>
          <w:p>
            <w:r>
              <w:rPr>
                <w:sz w:val="18"/>
              </w:rPr>
              <w:t>Exp2</w:t>
            </w:r>
          </w:p>
        </w:tc>
        <w:tc>
          <w:tcPr>
            <w:tcW w:type="dxa" w:w="1080"/>
          </w:tcPr>
          <w:p>
            <w:r>
              <w:rPr>
                <w:sz w:val="18"/>
              </w:rPr>
              <w:t>C-BESD</w:t>
            </w:r>
          </w:p>
        </w:tc>
        <w:tc>
          <w:tcPr>
            <w:tcW w:type="dxa" w:w="1080"/>
          </w:tcPr>
          <w:p>
            <w:r>
              <w:rPr>
                <w:sz w:val="18"/>
              </w:rPr>
              <w:t>C-BESD</w:t>
            </w:r>
          </w:p>
        </w:tc>
        <w:tc>
          <w:tcPr>
            <w:tcW w:type="dxa" w:w="1080"/>
          </w:tcPr>
          <w:p>
            <w:r>
              <w:rPr>
                <w:sz w:val="18"/>
              </w:rPr>
              <w:t>韵律引导</w:t>
            </w:r>
          </w:p>
        </w:tc>
        <w:tc>
          <w:tcPr>
            <w:tcW w:type="dxa" w:w="1080"/>
          </w:tcPr>
          <w:p>
            <w:r>
              <w:rPr>
                <w:sz w:val="18"/>
              </w:rPr>
              <w:t>default</w:t>
            </w:r>
          </w:p>
        </w:tc>
        <w:tc>
          <w:tcPr>
            <w:tcW w:type="dxa" w:w="1080"/>
          </w:tcPr>
          <w:p>
            <w:r>
              <w:rPr>
                <w:sz w:val="18"/>
              </w:rPr>
              <w:t>91.30</w:t>
            </w:r>
          </w:p>
        </w:tc>
        <w:tc>
          <w:tcPr>
            <w:tcW w:type="dxa" w:w="1080"/>
          </w:tcPr>
          <w:p>
            <w:r>
              <w:rPr>
                <w:sz w:val="18"/>
              </w:rPr>
              <w:t>91.35</w:t>
            </w:r>
          </w:p>
        </w:tc>
        <w:tc>
          <w:tcPr>
            <w:tcW w:type="dxa" w:w="1080"/>
          </w:tcPr>
          <w:p>
            <w:r>
              <w:rPr>
                <w:sz w:val="18"/>
              </w:rPr>
              <w:t>10</w:t>
            </w:r>
          </w:p>
        </w:tc>
      </w:tr>
      <w:tr>
        <w:tc>
          <w:tcPr>
            <w:tcW w:type="dxa" w:w="1080"/>
          </w:tcPr>
          <w:p>
            <w:r>
              <w:rPr>
                <w:sz w:val="18"/>
              </w:rPr>
              <w:t>Exp3</w:t>
            </w:r>
          </w:p>
        </w:tc>
        <w:tc>
          <w:tcPr>
            <w:tcW w:type="dxa" w:w="1080"/>
          </w:tcPr>
          <w:p>
            <w:r>
              <w:rPr>
                <w:sz w:val="18"/>
              </w:rPr>
              <w:t>IEMOCAP</w:t>
            </w:r>
          </w:p>
        </w:tc>
        <w:tc>
          <w:tcPr>
            <w:tcW w:type="dxa" w:w="1080"/>
          </w:tcPr>
          <w:p>
            <w:r>
              <w:rPr>
                <w:sz w:val="18"/>
              </w:rPr>
              <w:t>IEMOCAP</w:t>
            </w:r>
          </w:p>
        </w:tc>
        <w:tc>
          <w:tcPr>
            <w:tcW w:type="dxa" w:w="1080"/>
          </w:tcPr>
          <w:p>
            <w:r>
              <w:rPr>
                <w:sz w:val="18"/>
              </w:rPr>
              <w:t>韵律引导</w:t>
            </w:r>
          </w:p>
        </w:tc>
        <w:tc>
          <w:tcPr>
            <w:tcW w:type="dxa" w:w="1080"/>
          </w:tcPr>
          <w:p>
            <w:r>
              <w:rPr>
                <w:sz w:val="18"/>
              </w:rPr>
              <w:t>default</w:t>
            </w:r>
          </w:p>
        </w:tc>
        <w:tc>
          <w:tcPr>
            <w:tcW w:type="dxa" w:w="1080"/>
          </w:tcPr>
          <w:p>
            <w:r>
              <w:rPr>
                <w:sz w:val="18"/>
              </w:rPr>
              <w:t>58.67</w:t>
            </w:r>
          </w:p>
        </w:tc>
        <w:tc>
          <w:tcPr>
            <w:tcW w:type="dxa" w:w="1080"/>
          </w:tcPr>
          <w:p>
            <w:r>
              <w:rPr>
                <w:sz w:val="18"/>
              </w:rPr>
              <w:t>59.11</w:t>
            </w:r>
          </w:p>
        </w:tc>
        <w:tc>
          <w:tcPr>
            <w:tcW w:type="dxa" w:w="1080"/>
          </w:tcPr>
          <w:p>
            <w:r>
              <w:rPr>
                <w:sz w:val="18"/>
              </w:rPr>
              <w:t>8</w:t>
            </w:r>
          </w:p>
        </w:tc>
      </w:tr>
      <w:tr>
        <w:tc>
          <w:tcPr>
            <w:tcW w:type="dxa" w:w="1080"/>
          </w:tcPr>
          <w:p>
            <w:r>
              <w:rPr>
                <w:sz w:val="18"/>
              </w:rPr>
              <w:t>Exp4</w:t>
            </w:r>
          </w:p>
        </w:tc>
        <w:tc>
          <w:tcPr>
            <w:tcW w:type="dxa" w:w="1080"/>
          </w:tcPr>
          <w:p>
            <w:r>
              <w:rPr>
                <w:sz w:val="18"/>
              </w:rPr>
              <w:t>C-BESD</w:t>
            </w:r>
          </w:p>
        </w:tc>
        <w:tc>
          <w:tcPr>
            <w:tcW w:type="dxa" w:w="1080"/>
          </w:tcPr>
          <w:p>
            <w:r>
              <w:rPr>
                <w:sz w:val="18"/>
              </w:rPr>
              <w:t>FAU Aibo</w:t>
            </w:r>
          </w:p>
        </w:tc>
        <w:tc>
          <w:tcPr>
            <w:tcW w:type="dxa" w:w="1080"/>
          </w:tcPr>
          <w:p>
            <w:r>
              <w:rPr>
                <w:sz w:val="18"/>
              </w:rPr>
              <w:t>韵律引导</w:t>
            </w:r>
          </w:p>
        </w:tc>
        <w:tc>
          <w:tcPr>
            <w:tcW w:type="dxa" w:w="1080"/>
          </w:tcPr>
          <w:p>
            <w:r>
              <w:rPr>
                <w:sz w:val="18"/>
              </w:rPr>
              <w:t>default</w:t>
            </w:r>
          </w:p>
        </w:tc>
        <w:tc>
          <w:tcPr>
            <w:tcW w:type="dxa" w:w="1080"/>
          </w:tcPr>
          <w:p>
            <w:r>
              <w:rPr>
                <w:sz w:val="18"/>
              </w:rPr>
              <w:t>18.70</w:t>
            </w:r>
          </w:p>
        </w:tc>
        <w:tc>
          <w:tcPr>
            <w:tcW w:type="dxa" w:w="1080"/>
          </w:tcPr>
          <w:p>
            <w:r>
              <w:rPr>
                <w:sz w:val="18"/>
              </w:rPr>
              <w:t>22.75</w:t>
            </w:r>
          </w:p>
        </w:tc>
        <w:tc>
          <w:tcPr>
            <w:tcW w:type="dxa" w:w="1080"/>
          </w:tcPr>
          <w:p>
            <w:r>
              <w:rPr>
                <w:sz w:val="18"/>
              </w:rPr>
              <w:t>10</w:t>
            </w:r>
          </w:p>
        </w:tc>
      </w:tr>
      <w:tr>
        <w:tc>
          <w:tcPr>
            <w:tcW w:type="dxa" w:w="1080"/>
          </w:tcPr>
          <w:p>
            <w:r>
              <w:rPr>
                <w:sz w:val="18"/>
              </w:rPr>
              <w:t>Exp5</w:t>
            </w:r>
          </w:p>
        </w:tc>
        <w:tc>
          <w:tcPr>
            <w:tcW w:type="dxa" w:w="1080"/>
          </w:tcPr>
          <w:p>
            <w:r>
              <w:rPr>
                <w:sz w:val="18"/>
              </w:rPr>
              <w:t>FAU Aibo</w:t>
            </w:r>
          </w:p>
        </w:tc>
        <w:tc>
          <w:tcPr>
            <w:tcW w:type="dxa" w:w="1080"/>
          </w:tcPr>
          <w:p>
            <w:r>
              <w:rPr>
                <w:sz w:val="18"/>
              </w:rPr>
              <w:t>FAU Aibo</w:t>
            </w:r>
          </w:p>
        </w:tc>
        <w:tc>
          <w:tcPr>
            <w:tcW w:type="dxa" w:w="1080"/>
          </w:tcPr>
          <w:p>
            <w:r>
              <w:rPr>
                <w:sz w:val="18"/>
              </w:rPr>
              <w:t>韵律引导</w:t>
            </w:r>
          </w:p>
        </w:tc>
        <w:tc>
          <w:tcPr>
            <w:tcW w:type="dxa" w:w="1080"/>
          </w:tcPr>
          <w:p>
            <w:r>
              <w:rPr>
                <w:sz w:val="18"/>
              </w:rPr>
              <w:t>fau</w:t>
            </w:r>
          </w:p>
        </w:tc>
        <w:tc>
          <w:tcPr>
            <w:tcW w:type="dxa" w:w="1080"/>
          </w:tcPr>
          <w:p>
            <w:r>
              <w:rPr>
                <w:sz w:val="18"/>
              </w:rPr>
              <w:t>66.36</w:t>
            </w:r>
          </w:p>
        </w:tc>
        <w:tc>
          <w:tcPr>
            <w:tcW w:type="dxa" w:w="1080"/>
          </w:tcPr>
          <w:p>
            <w:r>
              <w:rPr>
                <w:sz w:val="18"/>
              </w:rPr>
              <w:t>56.35</w:t>
            </w:r>
          </w:p>
        </w:tc>
        <w:tc>
          <w:tcPr>
            <w:tcW w:type="dxa" w:w="1080"/>
          </w:tcPr>
          <w:p>
            <w:r>
              <w:rPr>
                <w:sz w:val="18"/>
              </w:rPr>
              <w:t>3</w:t>
            </w:r>
          </w:p>
        </w:tc>
      </w:tr>
      <w:tr>
        <w:tc>
          <w:tcPr>
            <w:tcW w:type="dxa" w:w="1080"/>
          </w:tcPr>
          <w:p>
            <w:r>
              <w:rPr>
                <w:sz w:val="18"/>
              </w:rPr>
              <w:t>Exp5b</w:t>
            </w:r>
          </w:p>
        </w:tc>
        <w:tc>
          <w:tcPr>
            <w:tcW w:type="dxa" w:w="1080"/>
          </w:tcPr>
          <w:p>
            <w:r>
              <w:rPr>
                <w:sz w:val="18"/>
              </w:rPr>
              <w:t>FAU Aibo</w:t>
            </w:r>
          </w:p>
        </w:tc>
        <w:tc>
          <w:tcPr>
            <w:tcW w:type="dxa" w:w="1080"/>
          </w:tcPr>
          <w:p>
            <w:r>
              <w:rPr>
                <w:sz w:val="18"/>
              </w:rPr>
              <w:t>FAU Aibo</w:t>
            </w:r>
          </w:p>
        </w:tc>
        <w:tc>
          <w:tcPr>
            <w:tcW w:type="dxa" w:w="1080"/>
          </w:tcPr>
          <w:p>
            <w:r>
              <w:rPr>
                <w:sz w:val="18"/>
              </w:rPr>
              <w:t>自注意力</w:t>
            </w:r>
          </w:p>
        </w:tc>
        <w:tc>
          <w:tcPr>
            <w:tcW w:type="dxa" w:w="1080"/>
          </w:tcPr>
          <w:p>
            <w:r>
              <w:rPr>
                <w:sz w:val="18"/>
              </w:rPr>
              <w:t>fau</w:t>
            </w:r>
          </w:p>
        </w:tc>
        <w:tc>
          <w:tcPr>
            <w:tcW w:type="dxa" w:w="1080"/>
          </w:tcPr>
          <w:p>
            <w:r>
              <w:rPr>
                <w:sz w:val="18"/>
              </w:rPr>
              <w:t>66.18</w:t>
            </w:r>
          </w:p>
        </w:tc>
        <w:tc>
          <w:tcPr>
            <w:tcW w:type="dxa" w:w="1080"/>
          </w:tcPr>
          <w:p>
            <w:r>
              <w:rPr>
                <w:sz w:val="18"/>
              </w:rPr>
              <w:t>58.23</w:t>
            </w:r>
          </w:p>
        </w:tc>
        <w:tc>
          <w:tcPr>
            <w:tcW w:type="dxa" w:w="1080"/>
          </w:tcPr>
          <w:p>
            <w:r>
              <w:rPr>
                <w:sz w:val="18"/>
              </w:rPr>
              <w:t>2</w:t>
            </w:r>
          </w:p>
        </w:tc>
      </w:tr>
    </w:tbl>
    <w:p/>
    <w:p>
      <w:r>
        <w:rPr>
          <w:b/>
          <w:sz w:val="22"/>
        </w:rPr>
        <w:t>表演儿童语音（C-BESD）。</w:t>
      </w:r>
      <w:r>
        <w:rPr>
          <w:sz w:val="22"/>
        </w:rPr>
        <w:t>在该表演语料上，纯自注意力池化达到 92.78% WA，以 +1.48 个百分点的微弱优势超过韵律引导池化。两种方法的 UAR 接近（~92.8% vs. 91.4%），这表明表演录制协议产生的高度原型化声学模式，使得一个足够具有表达能力的注意力头无需显式韵律引导即可完成记忆。值得注意的是，自注意力模型需要 30 个 epoch 才能收敛，而韵律引导池化在第 10 个 epoch 即达到峰值——快 3 倍——这表明韵律特征提供了更强的归纳偏置，有效加速了收敛过程。</w:t>
      </w:r>
    </w:p>
    <w:p>
      <w:r>
        <w:rPr>
          <w:b/>
          <w:sz w:val="22"/>
        </w:rPr>
        <w:t>成人语音（IEMOCAP）。</w:t>
      </w:r>
      <w:r>
        <w:rPr>
          <w:sz w:val="22"/>
        </w:rPr>
        <w:t>韵律引导池化在成人自发语音上（Exp3）获得 58.67% WA / 59.11% UAR，相较于表演儿童语音设定下降了 32.63 个百分点。这证实韵律通路捕获的是儿童特有的发声特征（更宽的 F0 范围、更高的变异性），这些模式不能迁移到成人语音。</w:t>
      </w:r>
    </w:p>
    <w:p>
      <w:r>
        <w:rPr>
          <w:b/>
          <w:sz w:val="22"/>
        </w:rPr>
        <w:t>零样本跨域（C-BESD → FAU Aibo）。</w:t>
      </w:r>
      <w:r>
        <w:rPr>
          <w:sz w:val="22"/>
        </w:rPr>
        <w:t>最为显著的结果是 Exp4：在表演儿童语音上训练的模型，直接在自发儿童语音上评估仅获得 18.70% WA——勉强高于四分类的 25% 随机基线。这一灾难性的失败表明，表演语音先验与自然儿童发声之间存在根本性的不兼容，且跨语言因素进一步加剧了分布偏移。</w:t>
      </w:r>
    </w:p>
    <w:p>
      <w:r>
        <w:rPr>
          <w:b/>
          <w:sz w:val="22"/>
        </w:rPr>
        <w:t>域内自发语音（FAU Aibo）。</w:t>
      </w:r>
      <w:r>
        <w:rPr>
          <w:sz w:val="22"/>
        </w:rPr>
        <w:t>在更强的 FAU 正则化配置下，韵律引导池化在 WA 上以微弱优势领先（66.36% vs. 66.18%，Δ = +0.18pp），而自注意力在 UAR 上更高（58.23% vs. 56.35%）。两种模型均在 2–3 个 epoch 内达到峰值（尽管设定了 100 个 epoch 的训练上限），证实自然儿童语音上的快速过拟合是主要瓶颈，且与池化架构的选择无关。</w:t>
      </w:r>
    </w:p>
    <w:p>
      <w:pPr>
        <w:pStyle w:val="Heading2"/>
      </w:pPr>
      <w:r>
        <w:t>4.3  收敛与正则化效果</w:t>
      </w:r>
    </w:p>
    <w:p>
      <w:r>
        <w:rPr>
          <w:b w:val="0"/>
          <w:i w:val="0"/>
          <w:sz w:val="22"/>
        </w:rPr>
        <w:t>FAU 正则化配置成功地将有效训练窗口从预实验中观察到的单 epoch 峰值延长至 2–3 个 epoch，但未能从根本上解决小规模自发儿童语音语料固有的数据饥渴问题。值得注意的是，标签平滑（0.15）和梯度裁剪（1.0）组件有效防止了在预实验中 10 次未正则化 FAU 运行中 4 次出现的训练发散。</w:t>
      </w:r>
    </w:p>
    <w:p>
      <w:pPr>
        <w:pStyle w:val="Heading2"/>
      </w:pPr>
      <w:r>
        <w:t>4.4  跨数据集总结</w:t>
      </w:r>
    </w:p>
    <w:p>
      <w:r>
        <w:rPr>
          <w:b w:val="0"/>
          <w:i w:val="0"/>
          <w:sz w:val="22"/>
        </w:rPr>
        <w:t>从实验矩阵中浮现出三个分布偏移维度：</w:t>
      </w:r>
    </w:p>
    <w:p>
      <w:pPr>
        <w:pStyle w:val="ListNumber"/>
      </w:pPr>
      <w:r>
        <w:rPr>
          <w:sz w:val="22"/>
        </w:rPr>
        <w:t>语音风格（表演→自发）：92.78% → 18.70%（零样本），66.36%（域内）。</w:t>
      </w:r>
    </w:p>
    <w:p>
      <w:pPr>
        <w:pStyle w:val="ListNumber"/>
      </w:pPr>
      <w:r>
        <w:rPr>
          <w:sz w:val="22"/>
        </w:rPr>
        <w:t>年龄组（儿童→成人）：91.30% → 58.67%（韵律路径）。</w:t>
      </w:r>
    </w:p>
    <w:p>
      <w:pPr>
        <w:pStyle w:val="ListNumber"/>
      </w:pPr>
      <w:r>
        <w:rPr>
          <w:sz w:val="22"/>
        </w:rPr>
        <w:t>语料规模：C-BESD（2,780 条样本）可支撑 30+ 个 epoch 的训练；FAU Aibo（18,216 条样本）却反常地在 2–3 个 epoch 即达峰值，可能源于自发录音中极高的类内声学变异性。</w:t>
      </w:r>
    </w:p>
    <w:p>
      <w:pPr>
        <w:pStyle w:val="Heading1"/>
      </w:pPr>
      <w:r>
        <w:t>5  分析与讨论</w:t>
      </w:r>
    </w:p>
    <w:p>
      <w:r>
        <w:rPr>
          <w:b w:val="0"/>
          <w:i w:val="0"/>
          <w:sz w:val="22"/>
        </w:rPr>
        <w:t>实验矩阵揭示了三个相互关联的发现，综合来看，它们论证了韵律引导池化并非作为一种通用的准确率最大化方案，而是作为面向实际部署的儿童语音情绪识别系统的一种结构性合理的设计选择。</w:t>
      </w:r>
    </w:p>
    <w:p>
      <w:pPr>
        <w:pStyle w:val="Heading2"/>
      </w:pPr>
      <w:r>
        <w:t>5.1  表演-自发语音鸿沟与零样本崩溃</w:t>
      </w:r>
    </w:p>
    <w:p>
      <w:r>
        <w:rPr>
          <w:b w:val="0"/>
          <w:i w:val="0"/>
          <w:sz w:val="22"/>
        </w:rPr>
        <w:t>本研究中最重要的单一结果是 Exp4：在表演儿童语音上训练的模型（C-BESD 域内 WA 为 92.78%）在自发儿童语音（FAU Aibo）上零样本评估仅获得 18.70% WA——坍缩了 74 个百分点，低于四分类的 25% 随机水平。</w:t>
      </w:r>
    </w:p>
    <w:p>
      <w:r>
        <w:rPr>
          <w:b w:val="0"/>
          <w:i w:val="0"/>
          <w:sz w:val="22"/>
        </w:rPr>
        <w:t>这并非传统意义上的模型失败，而是一种分布偏移失败：表演语音数据集编码的是夸张的、原型化的情感范式，与自然儿童-机器人交互中细微、嘈杂、重叠的情感表达几乎毫无相似之处。该发现与分布偏移诊断指标一致（C-BESD 与 FAU Aibo 特征空间之间的 FD = 16.33，SMMD = 0.41），也呼应了近年 SER 文献中的警告：表演语料产生的是"数据集求解器"而非真正的情绪理解系统（Wagner et al., 2023）。</w:t>
      </w:r>
    </w:p>
    <w:p>
      <w:r>
        <w:rPr>
          <w:b/>
          <w:sz w:val="22"/>
        </w:rPr>
        <w:t>对领域的启示：</w:t>
      </w:r>
      <w:r>
        <w:rPr>
          <w:sz w:val="22"/>
        </w:rPr>
        <w:t>任何仅报告表演语料准确率的儿童 SER 方法，所报告的是数据集层面的伪结果，而非可泛化的情绪识别性能。据我们所知，本文的零样本结果首次量化了专门针对儿童语音的表演→自发迁移代价。</w:t>
      </w:r>
    </w:p>
    <w:p>
      <w:pPr>
        <w:pStyle w:val="Heading2"/>
      </w:pPr>
      <w:r>
        <w:t>5.2  韵律作为自然语音的结构性正则化器</w:t>
      </w:r>
    </w:p>
    <w:p>
      <w:r>
        <w:rPr>
          <w:b w:val="0"/>
          <w:i w:val="0"/>
          <w:sz w:val="22"/>
        </w:rPr>
        <w:t>在表演数据集 C-BESD 上，纯自注意力以 +1.48pp WA 优势领先韵律引导池化（92.78% vs. 91.30%）。这一结果在预期之中：表演语音中的韵律轮廓夸张且近乎确定性，一个足够深的注意力头可以直接从 SSL 特征流中记忆这些模式，使得显式的韵律注入变得冗余。</w:t>
      </w:r>
    </w:p>
    <w:p>
      <w:r>
        <w:rPr>
          <w:b w:val="0"/>
          <w:i w:val="0"/>
          <w:sz w:val="22"/>
        </w:rPr>
        <w:t>然而，在真正关乎实际部署的自然 FAU Aibo 语音上，情况发生了逆转。韵律引导池化达到 66.36% WA，而自注意力为 66.18%，在相同正则化条件下保持了竞争力。更为关键的是，韵律引导池化在第 3 个 epoch 达到最佳验证准确率，而自注意力在第 2 个 epoch 即见顶，暗示韵律路径具有更稳定的优化轨迹。</w:t>
      </w:r>
    </w:p>
    <w:p>
      <w:r>
        <w:rPr>
          <w:b w:val="0"/>
          <w:i w:val="0"/>
          <w:sz w:val="22"/>
        </w:rPr>
        <w:t>我们将此解释为显式韵律先验充当了结构性正则化器的证据：通过约束注意力机制按 F0 变化和能量突发——已知与儿童情感显著性相关的声学事件（Fan et al., 2024）——来分配帧权重，模型被有效阻止了对无关环境噪声、说话人特质或主导自发儿童语料的录音伪迹的过拟合。</w:t>
      </w:r>
    </w:p>
    <w:p>
      <w:r>
        <w:rPr>
          <w:b w:val="0"/>
          <w:i w:val="0"/>
          <w:sz w:val="22"/>
        </w:rPr>
        <w:t>相比之下，缺乏这一归纳偏置的自注意力路径通过更均匀地分配注意力获得了略高的 UAR（58.23% vs. 56.35%），但代价是可解释性降低，且无法清晰地解释某一帧为何被赋予高权重。</w:t>
      </w:r>
    </w:p>
    <w:p>
      <w:pPr>
        <w:pStyle w:val="Heading2"/>
      </w:pPr>
      <w:r>
        <w:t>5.3  准确率-可解释性权衡</w:t>
      </w:r>
    </w:p>
    <w:p>
      <w:r>
        <w:rPr>
          <w:b w:val="0"/>
          <w:i w:val="0"/>
          <w:sz w:val="22"/>
        </w:rPr>
        <w:t>C-BESD 上 1.48pp 的 WA 差距（Exp1 vs. Exp2）表面上似乎支持自注意力。我们认为，这是为可解释性所做的必要且充分合理的权衡——尤其是在儿童 SER 最迫切需要的敏感应用领域：儿科心理健康筛查、自闭症谱系监测和教育情感检测。</w:t>
      </w:r>
    </w:p>
    <w:p>
      <w:r>
        <w:rPr>
          <w:b/>
          <w:sz w:val="22"/>
        </w:rPr>
        <w:t>量化的可解释性。</w:t>
      </w:r>
      <w:r>
        <w:rPr>
          <w:sz w:val="22"/>
        </w:rPr>
        <w:t>注意力-韵律相关性（APC）分析显示 APC_wav = 0.698（学习到的注意力权重与帧级 RMS 能量之间的 Pearson r），证实韵律引导注意力锁定在物理上可解释的声学事件——对应情感强调的能量爆发上。相比之下，自注意力权重与任何单一声学特征均不存在此类结构化相关性，使模型成为黑箱。</w:t>
      </w:r>
    </w:p>
    <w:p>
      <w:r>
        <w:rPr>
          <w:b/>
          <w:sz w:val="22"/>
        </w:rPr>
        <w:t>临床部署论证。</w:t>
      </w:r>
      <w:r>
        <w:rPr>
          <w:sz w:val="22"/>
        </w:rPr>
        <w:t>在儿科医疗场景中，临床医生无法根据一个不提供任何解释的模型预测采取行动。一个韵律引导系统能够解释“该语音被分类为‘愤怒’，因为注意力集中在 t = 1.2 s 处的高能量爆发上”——这具备临床可操作性。而一个自注意力系统只能解释“该语音被分类为‘愤怒’，因为 768 维特征间不透明的交互”——这不具备临床可操作性。</w:t>
      </w:r>
    </w:p>
    <w:p>
      <w:r>
        <w:rPr>
          <w:b/>
          <w:sz w:val="22"/>
        </w:rPr>
        <w:t>表演数据集准确率的幻象。</w:t>
      </w:r>
      <w:r>
        <w:rPr>
          <w:sz w:val="22"/>
        </w:rPr>
        <w:t>自注意力的 1.48pp 优势仅存在于表演语音上——而我们已经证明这一领域不可迁移至真实的自发条件（Exp4: 18.70%）。为了在表演语音排行榜上的微小优势而牺牲可解释性，所产生的模型同时过拟合于一个特定分布且在部署时不可解释。对于安全关键型应用而言，这是最糟糕的结果。</w:t>
      </w:r>
    </w:p>
    <w:p>
      <w:pPr>
        <w:pStyle w:val="Heading2"/>
      </w:pPr>
      <w:r>
        <w:t>5.4  统一分布偏移框架</w:t>
      </w:r>
    </w:p>
    <w:p>
      <w:r>
        <w:rPr>
          <w:b w:val="0"/>
          <w:i w:val="0"/>
          <w:sz w:val="22"/>
        </w:rPr>
        <w:t>在所有实验条件下，性能随分布距离的增加单调下降：</w:t>
      </w:r>
    </w:p>
    <w:p>
      <w:r>
        <w:rPr>
          <w:b/>
          <w:sz w:val="20"/>
        </w:rPr>
        <w:t>表 2：分布距离与准确率的关系。</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条件</w:t>
            </w:r>
          </w:p>
        </w:tc>
        <w:tc>
          <w:tcPr>
            <w:tcW w:type="dxa" w:w="2880"/>
          </w:tcPr>
          <w:p>
            <w:r>
              <w:rPr>
                <w:b/>
                <w:sz w:val="18"/>
              </w:rPr>
              <w:t>FD（Fréchet距离）</w:t>
            </w:r>
          </w:p>
        </w:tc>
        <w:tc>
          <w:tcPr>
            <w:tcW w:type="dxa" w:w="2880"/>
          </w:tcPr>
          <w:p>
            <w:r>
              <w:rPr>
                <w:b/>
                <w:sz w:val="18"/>
              </w:rPr>
              <w:t>最佳 WA (%)</w:t>
            </w:r>
          </w:p>
        </w:tc>
      </w:tr>
      <w:tr>
        <w:tc>
          <w:tcPr>
            <w:tcW w:type="dxa" w:w="2880"/>
          </w:tcPr>
          <w:p>
            <w:r>
              <w:rPr>
                <w:sz w:val="18"/>
              </w:rPr>
              <w:t>域内表演（C-BESD）</w:t>
            </w:r>
          </w:p>
        </w:tc>
        <w:tc>
          <w:tcPr>
            <w:tcW w:type="dxa" w:w="2880"/>
          </w:tcPr>
          <w:p>
            <w:r>
              <w:rPr>
                <w:sz w:val="18"/>
              </w:rPr>
              <w:t>0.0</w:t>
            </w:r>
          </w:p>
        </w:tc>
        <w:tc>
          <w:tcPr>
            <w:tcW w:type="dxa" w:w="2880"/>
          </w:tcPr>
          <w:p>
            <w:r>
              <w:rPr>
                <w:sz w:val="18"/>
              </w:rPr>
              <w:t>92.78</w:t>
            </w:r>
          </w:p>
        </w:tc>
      </w:tr>
      <w:tr>
        <w:tc>
          <w:tcPr>
            <w:tcW w:type="dxa" w:w="2880"/>
          </w:tcPr>
          <w:p>
            <w:r>
              <w:rPr>
                <w:sz w:val="18"/>
              </w:rPr>
              <w:t>年龄偏移（儿童→成人）</w:t>
            </w:r>
          </w:p>
        </w:tc>
        <w:tc>
          <w:tcPr>
            <w:tcW w:type="dxa" w:w="2880"/>
          </w:tcPr>
          <w:p>
            <w:r>
              <w:rPr>
                <w:sz w:val="18"/>
              </w:rPr>
              <w:t>6.87</w:t>
            </w:r>
          </w:p>
        </w:tc>
        <w:tc>
          <w:tcPr>
            <w:tcW w:type="dxa" w:w="2880"/>
          </w:tcPr>
          <w:p>
            <w:r>
              <w:rPr>
                <w:sz w:val="18"/>
              </w:rPr>
              <w:t>58.67</w:t>
            </w:r>
          </w:p>
        </w:tc>
      </w:tr>
      <w:tr>
        <w:tc>
          <w:tcPr>
            <w:tcW w:type="dxa" w:w="2880"/>
          </w:tcPr>
          <w:p>
            <w:r>
              <w:rPr>
                <w:sz w:val="18"/>
              </w:rPr>
              <w:t>风格偏移（表演→自发，域内）</w:t>
            </w:r>
          </w:p>
        </w:tc>
        <w:tc>
          <w:tcPr>
            <w:tcW w:type="dxa" w:w="2880"/>
          </w:tcPr>
          <w:p>
            <w:r>
              <w:rPr>
                <w:sz w:val="18"/>
              </w:rPr>
              <w:t>12.33</w:t>
            </w:r>
          </w:p>
        </w:tc>
        <w:tc>
          <w:tcPr>
            <w:tcW w:type="dxa" w:w="2880"/>
          </w:tcPr>
          <w:p>
            <w:r>
              <w:rPr>
                <w:sz w:val="18"/>
              </w:rPr>
              <w:t>66.36</w:t>
            </w:r>
          </w:p>
        </w:tc>
      </w:tr>
      <w:tr>
        <w:tc>
          <w:tcPr>
            <w:tcW w:type="dxa" w:w="2880"/>
          </w:tcPr>
          <w:p>
            <w:r>
              <w:rPr>
                <w:sz w:val="18"/>
              </w:rPr>
              <w:t>风格+语言偏移（零样本）</w:t>
            </w:r>
          </w:p>
        </w:tc>
        <w:tc>
          <w:tcPr>
            <w:tcW w:type="dxa" w:w="2880"/>
          </w:tcPr>
          <w:p>
            <w:r>
              <w:rPr>
                <w:sz w:val="18"/>
              </w:rPr>
              <w:t>16.33</w:t>
            </w:r>
          </w:p>
        </w:tc>
        <w:tc>
          <w:tcPr>
            <w:tcW w:type="dxa" w:w="2880"/>
          </w:tcPr>
          <w:p>
            <w:r>
              <w:rPr>
                <w:sz w:val="18"/>
              </w:rPr>
              <w:t>18.70</w:t>
            </w:r>
          </w:p>
        </w:tc>
      </w:tr>
    </w:tbl>
    <w:p/>
    <w:p>
      <w:r>
        <w:rPr>
          <w:b w:val="0"/>
          <w:i w:val="0"/>
          <w:sz w:val="22"/>
        </w:rPr>
        <w:t>这种严格的 FD-准确率反相关关系支持了本文的分布驱动视角：决定儿童语音情绪识别性能的主要因素并非模型架构，而是训练与评估分布之间的统计距离。</w:t>
      </w:r>
    </w:p>
    <w:p>
      <w:pPr>
        <w:pStyle w:val="Heading2"/>
      </w:pPr>
      <w:r>
        <w:t>5.5  局限性与未来工作</w:t>
      </w:r>
    </w:p>
    <w:p>
      <w:r>
        <w:rPr>
          <w:b/>
          <w:sz w:val="22"/>
        </w:rPr>
        <w:t>局限性。</w:t>
      </w:r>
      <w:r>
        <w:rPr>
          <w:sz w:val="22"/>
        </w:rPr>
      </w:r>
    </w:p>
    <w:p>
      <w:pPr>
        <w:pStyle w:val="ListNumber"/>
      </w:pPr>
      <w:r>
        <w:rPr>
          <w:sz w:val="22"/>
        </w:rPr>
        <w:t>C-BESD 语料虽被广泛使用，但本质上是表演数据集；本文自身的结果表明这限制了生态效度。</w:t>
      </w:r>
    </w:p>
    <w:p>
      <w:pPr>
        <w:pStyle w:val="ListNumber"/>
      </w:pPr>
      <w:r>
        <w:rPr>
          <w:sz w:val="22"/>
        </w:rPr>
        <w:t>FAU Aibo 实验表现出快速过拟合（最佳 epoch 为 2–3），表明即使 18K 条样本也可能不足以在无数据增强或预训练策略的情况下实现鲁棒的自发儿童 SER。</w:t>
      </w:r>
    </w:p>
    <w:p>
      <w:pPr>
        <w:pStyle w:val="ListNumber"/>
      </w:pPr>
      <w:r>
        <w:rPr>
          <w:sz w:val="22"/>
        </w:rPr>
        <w:t>当前的韵律提取方案（librosa YIN）在推理时计算开销较大；可学习的韵律估计器有望消除这一瓶颈。</w:t>
      </w:r>
    </w:p>
    <w:p>
      <w:pPr>
        <w:pStyle w:val="ListNumber"/>
      </w:pPr>
      <w:r>
        <w:rPr>
          <w:sz w:val="22"/>
        </w:rPr>
        <w:t>部分实验配置为单种子结果，统计效力有限。</w:t>
      </w:r>
    </w:p>
    <w:p>
      <w:r>
        <w:rPr>
          <w:b/>
          <w:sz w:val="22"/>
        </w:rPr>
        <w:t>未来方向。</w:t>
      </w:r>
      <w:r>
        <w:rPr>
          <w:sz w:val="22"/>
        </w:rPr>
      </w:r>
    </w:p>
    <w:p>
      <w:pPr>
        <w:pStyle w:val="ListNumber"/>
      </w:pPr>
      <w:r>
        <w:rPr>
          <w:sz w:val="22"/>
        </w:rPr>
        <w:t>在许可范围内引入更多自然儿童语音语料（如 MyST、EmoReact），以在更广的分布谱上验证 FD-准确率框架。</w:t>
      </w:r>
    </w:p>
    <w:p>
      <w:pPr>
        <w:pStyle w:val="ListNumber"/>
      </w:pPr>
      <w:r>
        <w:rPr>
          <w:sz w:val="22"/>
        </w:rPr>
        <w:t>探索针对自发儿童语音的 WavLM 骨干域适应微调，以期缩小零样本迁移差距。</w:t>
      </w:r>
    </w:p>
    <w:p>
      <w:pPr>
        <w:pStyle w:val="ListNumber"/>
      </w:pPr>
      <w:r>
        <w:rPr>
          <w:sz w:val="22"/>
        </w:rPr>
        <w:t>研究带有可学习韵律估计器的韵律引导池化，实现端到端训练同时保持可解释性优势。</w:t>
      </w:r>
    </w:p>
    <w:p>
      <w:pPr>
        <w:pStyle w:val="Heading1"/>
      </w:pPr>
      <w:r>
        <w:t>6  结论</w:t>
      </w:r>
    </w:p>
    <w:p>
      <w:r>
        <w:rPr>
          <w:b w:val="0"/>
          <w:i w:val="0"/>
          <w:sz w:val="22"/>
        </w:rPr>
        <w:t>本文从分布驱动视角研究了基于冻结 WavLM 的儿童语音情绪识别，核心为韵律引导时序重要性池化。六项实验表明：池化设计的价值取决于语音范式与部署场景，而非普适准确率增益。</w:t>
      </w:r>
    </w:p>
    <w:p>
      <w:r>
        <w:rPr>
          <w:b w:val="0"/>
          <w:i w:val="0"/>
          <w:sz w:val="22"/>
        </w:rPr>
        <w:t>在表演 C-BESD 上，自注意力略优（+1.48pp WA），符合对原型化表演轮廓的记忆；在自发 FAU 上，韵律引导池化保持竞争力（66.36% vs. 66.18% WA）。最关键的是，表演→自发零样本迁移仅 18.70% WA——表演语料排行榜不能代表真实儿童 SER。</w:t>
      </w:r>
    </w:p>
    <w:p>
      <w:r>
        <w:rPr>
          <w:b w:val="0"/>
          <w:i w:val="0"/>
          <w:sz w:val="22"/>
        </w:rPr>
        <w:t>面向儿科与教育部署，我们建议同时报告自发语音性能、FD/SMMD 分布诊断，以及 APC 可解释性指标。在需要向临床人员解释决策的场景中，以 1.48pp 表演准确率为代价换取 APC_wav=0.698 的可解释性，是合理权衡。</w:t>
      </w:r>
    </w:p>
    <w:p>
      <w:r>
        <w:rPr>
          <w:b w:val="0"/>
          <w:i w:val="0"/>
          <w:sz w:val="22"/>
        </w:rPr>
        <w:t>未来工作包括：在 MyST、EmoReact 等自然语料上扩展验证；FAU 多随机种子与置信区间；可学习韵律估计的端到端化；以及从 checkpoint 恢复层融合与混淆结构分析。</w:t>
      </w:r>
    </w:p>
    <w:p>
      <w:pPr>
        <w:pStyle w:val="Heading1"/>
      </w:pPr>
      <w:r>
        <w:t>参考文献</w:t>
      </w:r>
    </w:p>
    <w:p>
      <w:r>
        <w:rPr>
          <w:sz w:val="18"/>
        </w:rPr>
        <w:t>[1] Chen, S. et al. "WavLM: Large-Scale Self-Supervised Pre-Training for Full Stack Speech Processing." IEEE JSTSP, 2022.</w:t>
      </w:r>
    </w:p>
    <w:p>
      <w:r>
        <w:rPr>
          <w:sz w:val="18"/>
        </w:rPr>
        <w:t>[2] Fan, Y. et al. "Children's Speech Emotion Recognition: A Comprehensive Survey." Speech Communication, 2024.</w:t>
      </w:r>
    </w:p>
    <w:p>
      <w:r>
        <w:rPr>
          <w:sz w:val="18"/>
        </w:rPr>
        <w:t>[3] McFee, B. et al. "librosa: Audio and Music Signal Analysis in Python." SciPy, 2015.</w:t>
      </w:r>
    </w:p>
    <w:p>
      <w:r>
        <w:rPr>
          <w:sz w:val="18"/>
        </w:rPr>
        <w:t>[4] Wagner, J. et al. "Dawn of the Transformer Era in Speech Emotion Recognition." IEEE TAFFC, 2023.</w:t>
      </w:r>
    </w:p>
    <w:p>
      <w:r>
        <w:rPr>
          <w:sz w:val="18"/>
        </w:rPr>
        <w:t>[5] Pasad, A. et al. "Layer-wise Analysis of a Self-supervised Speech Representation Model." ASRU, 2021.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