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Prosody-Guided Temporal Attention for Children's Speech Emotion Recognition</w:t>
      </w:r>
    </w:p>
    <w:p>
      <w:pPr>
        <w:ind w:left="567"/>
      </w:pPr>
      <w:r>
        <w:rPr>
          <w:i/>
          <w:sz w:val="20"/>
        </w:rPr>
        <w:t>v7 | 2026-05-04 | 目标：INTERSPEECH 2027 / ICASSP 2027</w:t>
      </w:r>
    </w:p>
    <w:p>
      <w:pPr>
        <w:jc w:val="center"/>
      </w:pPr>
      <w:r>
        <w:t>────────────────────────────────────────</w:t>
      </w:r>
    </w:p>
    <w:p>
      <w:pPr>
        <w:pStyle w:val="Heading3"/>
      </w:pPr>
      <w:r>
        <w:t>Abstract</w:t>
      </w:r>
    </w:p>
    <w:p>
      <w:r>
        <w:t>Speech emotion recognition (SER) for children remains severely under-explored compared to adult SER, particularly with modern self-supervised learning (SSL) models. We present the first systematic study combining SSL features with children's SER, introducing a lightweight prosody-guided temporal pooling method and a multi-dimensional distribution shift framework. On the C-BESD bilingual children's dataset, our method achieves 80.85% WA / 80.8% UAR under strict speaker-independent evaluation, compared to 50.2% with a reproduced MFCC+CNN baseline and 76% reported in prior work. Cross-dataset experiments show that prosody-guided pooling provides consistent gains on acted speech (children +2.24, adults +0.75 percentage points), while showing negative effects on improvised speech (-2.12 on IEMOCAP). This suggests that the benefit depends on the salience and regularity of prosodic cues rather than on speaker age alone. Furthermore, we quantify distribution shifts across three dimensions (age, augmentation, language) using Frechet Distance, revealing a strict monotonic relationship between FD and classification accuracy. Per-class attention analysis shows entropy-accuracy negative correlation, providing interpretability for the temporal attention mechanism. All experiments use rigorous speaker-independent splits with multi-seed validation.</w:t>
      </w:r>
    </w:p>
    <w:p>
      <w:pPr>
        <w:jc w:val="center"/>
      </w:pPr>
      <w:r>
        <w:t>────────────────────────────────────────</w:t>
      </w:r>
    </w:p>
    <w:p>
      <w:pPr>
        <w:pStyle w:val="Heading3"/>
      </w:pPr>
      <w:r>
        <w:t>1. Introduction</w:t>
      </w:r>
    </w:p>
    <w:p>
      <w:r>
        <w:t>Speech emotion recognition has advanced rapidly with large-scale SSL models such as WavLM, HuBERT, and wav2vec 2.0. However, these advances have almost exclusively focused on adult speech. Children's SER remains a significant gap: a 2024-2025 literature survey reveals zero INTERSPEECH/ICASSP main-track papers combining SSL models with children's emotion recognition.</w:t>
      </w:r>
    </w:p>
    <w:p>
      <w:r>
        <w:t>This gap is not merely an oversight. Children's speech differs fundamentally from adult speech in its acoustic properties — higher fundamental frequency (mean F0 ~496 Hz vs. 80-220 Hz for adults), greater prosodic variability, and different temporal distribution of emotional content. These differences create a distribution shift that degrades SSL models pre-trained on adult speech.</w:t>
      </w:r>
    </w:p>
    <w:p>
      <w:r>
        <w:t>We address this gap with two contributions:</w:t>
      </w:r>
    </w:p>
    <w:p>
      <w:r>
        <w:t>Methodologically, we introduce Prosody-guided Temporal Importance Pooling — a lightweight attention mechanism that uses frame-level F0 and energy to weight the temporal contribution of each frame before pooling. Unlike standard mean pooling, which treats all frames equally, our method exploits the observation that emotional information in children's speech is temporally concentrated in prosodically distinctive frames.</w:t>
      </w:r>
    </w:p>
    <w:p>
      <w:r>
        <w:t>Analytically, we propose a unified distribution shift framework using Frechet Distance (FD) to quantify three orthogonal dimensions of shift — age (child vs. adult), augmentation (clean vs. perturbed), and language (English vs. Telugu) — and demonstrate a strict monotonic relationship between FD and classification accuracy across all dimensions.</w:t>
      </w:r>
    </w:p>
    <w:p>
      <w:r>
        <w:t>Our key findings include: (1) prosody-guided pooling benefits children (+2.24pp) substantially more than adults (+0.75pp on acted speech, -2.12pp on improvised speech); (2) FD ∝ 1/Accuracy across three shift dimensions; (3) per-class attention entropy negatively correlates with classification accuracy, providing interpretability.</w:t>
      </w:r>
    </w:p>
    <w:p>
      <w:pPr>
        <w:jc w:val="center"/>
      </w:pPr>
      <w:r>
        <w:t>────────────────────────────────────────</w:t>
      </w:r>
    </w:p>
    <w:p>
      <w:pPr>
        <w:pStyle w:val="Heading3"/>
      </w:pPr>
      <w:r>
        <w:t>2. Related Work</w:t>
      </w:r>
    </w:p>
    <w:p>
      <w:r>
        <w:t>Adult SER with SSL Models. WavLM, HuBERT, and wav2vec 2.0 have become standard backbones for adult SER, achieving 70-78% on IEMOCAP with fine-tuning. The INTERSPEECH 2025 SER Challenge attracted 93 teams, all using SSL foundation models. However, none of these systems have been evaluated on children's speech.</w:t>
      </w:r>
    </w:p>
    <w:p>
      <w:r>
        <w:t>Children's Speech Processing. SSL models have been benchmarked for children's ASR but not for emotion recognition. The C-BESD dataset was introduced in 2024 with a 76% MFCC+CNN baseline, but the evaluation methodology (speaker overlap) remains unclear.</w:t>
      </w:r>
    </w:p>
    <w:p>
      <w:r>
        <w:t>Distribution Shift in SER. Recent ICASSP 2026 papers address test-time adaptation and domain shift for SER, indicating growing interest in this direction. Our FD framework contributes to this line of work by providing a quantitative taxonomy of shift dimensions specific to children's SER.</w:t>
      </w:r>
    </w:p>
    <w:p>
      <w:pPr>
        <w:jc w:val="center"/>
      </w:pPr>
      <w:r>
        <w:t>────────────────────────────────────────</w:t>
      </w:r>
    </w:p>
    <w:p>
      <w:pPr>
        <w:pStyle w:val="Heading3"/>
      </w:pPr>
      <w:r>
        <w:t>3. Method</w:t>
      </w:r>
    </w:p>
    <w:p>
      <w:pPr>
        <w:pStyle w:val="Heading4"/>
      </w:pPr>
      <w:r>
        <w:t>3.1 Overview</w:t>
      </w:r>
    </w:p>
    <w:p>
      <w:r>
        <w:t>Our pipeline: WavLM (frozen) → Prosody Pooling → SEMLP classifier</w:t>
      </w:r>
    </w:p>
    <w:p>
      <w:r>
        <w:t>WavLM extracts frame-level 768-dim features at 50Hz. Prosody-guided temporal importance pooling weights each frame by its F0 and energy content. The SEMLP (Squeeze-Excitation MLP, ~590K parameters) classifies the pooled vector into 6 emotions.</w:t>
      </w:r>
    </w:p>
    <w:p>
      <w:pPr>
        <w:pStyle w:val="Heading4"/>
      </w:pPr>
      <w:r>
        <w:t>3.2 Prosody-Guided Temporal Importance Pooling</w:t>
      </w:r>
    </w:p>
    <w:p>
      <w:r>
        <w:t>For each frame at time t, we extract F0 via YIN algorithm (65-2093 Hz) and RMS energy. These 2-dim prosody features are projected to 64 dimensions, concatenated with the 768-dim SSL feature (832-dim total), and passed through a 2-layer MLP (832→128→1) to produce a scalar attention score per frame. After softmax normalization across the time axis, the attention weights are used to compute a weighted sum of the SSL features.</w:t>
      </w:r>
    </w:p>
    <w:p>
      <w:r>
        <w:t>The key design choice is the explicit injection of prosodic information into the attention mechanism, rather than letting the model learn attention purely from SSL features. This forces the model to attend to frames based on their prosodic content — which is where children's emotional information is concentrated.</w:t>
      </w:r>
    </w:p>
    <w:p>
      <w:pPr>
        <w:pStyle w:val="Heading4"/>
      </w:pPr>
      <w:r>
        <w:t>3.3 Distribution Shift Measurement</w:t>
      </w:r>
    </w:p>
    <w:p>
      <w:r>
        <w:t>We quantify distribution shift using Frechet Distance:</w:t>
      </w:r>
    </w:p>
    <w:p>
      <w:r>
        <w:t>FD = ||μ₁ - μ₂||² + Tr(Σ₁ + Σ₂ - 2(Σ₁Σ₂)^½)</w:t>
      </w:r>
    </w:p>
    <w:p>
      <w:r>
        <w:t>computed between SSL feature distributions of two domains. Lower FD indicates more similar distributions.</w:t>
      </w:r>
    </w:p>
    <w:p>
      <w:pPr>
        <w:jc w:val="center"/>
      </w:pPr>
      <w:r>
        <w:t>────────────────────────────────────────</w:t>
      </w:r>
    </w:p>
    <w:p>
      <w:pPr>
        <w:pStyle w:val="Heading3"/>
      </w:pPr>
      <w:r>
        <w:t>4. Experiments</w:t>
      </w:r>
    </w:p>
    <w:p>
      <w:pPr>
        <w:pStyle w:val="Heading4"/>
      </w:pPr>
      <w:r>
        <w:t>4.1 Setup</w:t>
      </w:r>
    </w:p>
    <w:p>
      <w:r>
        <w:t>Datasets. C-BESD (children 6-12, English+Telugu, 6 emotions, 4,179 utterances), IEMOCAP (adults, improvised, 9,903 utterances), CREMA-D (adults, acted, 7,442 utterances).</w:t>
      </w:r>
    </w:p>
    <w:p>
      <w:r>
        <w:t>Protocol. Strict speaker-independent split: outer 8:2 trainval/test + inner val, yielding ~6:2:2 ratio. Test set held out until final evaluation. Adapter statistical prior computed from training speakers only. Three seeds (42, 123, 456), mean ± std reported.</w:t>
      </w:r>
    </w:p>
    <w:p>
      <w:r>
        <w:t>Model. WavLM-base-sv (94M, frozen). Prosody pooling (~10K params). SEMLP classifier (~590K params). Total trainable: ~600K. AdamW (lr=3e-4, wd=1e-3), CosineAnnealing, label smoothing 0.1, batch 128, patience 15.</w:t>
      </w:r>
    </w:p>
    <w:p>
      <w:r>
        <w:t>Metrics. Weighted Accuracy (WA) and Unweighted Average Recall (UAR). C-BESD is class-balanced (WA ≈ UAR). Both reported throughout.</w:t>
      </w:r>
    </w:p>
    <w:p>
      <w:pPr>
        <w:pStyle w:val="Heading4"/>
      </w:pPr>
      <w:r>
        <w:t>4.2 C-BESD Main Results</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Model</w:t>
            </w:r>
          </w:p>
        </w:tc>
        <w:tc>
          <w:tcPr>
            <w:tcW w:type="dxa" w:w="2767"/>
          </w:tcPr>
          <w:p>
            <w:pPr>
              <w:jc w:val="center"/>
            </w:pPr>
            <w:r>
              <w:rPr>
                <w:b/>
                <w:sz w:val="20"/>
              </w:rPr>
              <w:t>WA (%)</w:t>
            </w:r>
          </w:p>
        </w:tc>
        <w:tc>
          <w:tcPr>
            <w:tcW w:type="dxa" w:w="2767"/>
          </w:tcPr>
          <w:p>
            <w:pPr>
              <w:jc w:val="center"/>
            </w:pPr>
            <w:r>
              <w:rPr>
                <w:b/>
                <w:sz w:val="20"/>
              </w:rPr>
              <w:t>UAR (%)</w:t>
            </w:r>
          </w:p>
        </w:tc>
      </w:tr>
      <w:tr>
        <w:tc>
          <w:tcPr>
            <w:tcW w:type="dxa" w:w="2767"/>
          </w:tcPr>
          <w:p>
            <w:pPr>
              <w:jc w:val="center"/>
            </w:pPr>
            <w:r>
              <w:rPr>
                <w:sz w:val="20"/>
              </w:rPr>
              <w:t>MFCC+CNN (our repro.)</w:t>
            </w:r>
          </w:p>
        </w:tc>
        <w:tc>
          <w:tcPr>
            <w:tcW w:type="dxa" w:w="2767"/>
          </w:tcPr>
          <w:p>
            <w:pPr>
              <w:jc w:val="center"/>
            </w:pPr>
            <w:r>
              <w:rPr>
                <w:sz w:val="20"/>
              </w:rPr>
              <w:t>50.2</w:t>
            </w:r>
          </w:p>
        </w:tc>
        <w:tc>
          <w:tcPr>
            <w:tcW w:type="dxa" w:w="2767"/>
          </w:tcPr>
          <w:p>
            <w:pPr>
              <w:jc w:val="center"/>
            </w:pPr>
            <w:r>
              <w:rPr>
                <w:sz w:val="20"/>
              </w:rPr>
              <w:t>50.3</w:t>
            </w:r>
          </w:p>
        </w:tc>
      </w:tr>
      <w:tr>
        <w:tc>
          <w:tcPr>
            <w:tcW w:type="dxa" w:w="2767"/>
          </w:tcPr>
          <w:p>
            <w:pPr>
              <w:jc w:val="center"/>
            </w:pPr>
            <w:r>
              <w:rPr>
                <w:sz w:val="20"/>
              </w:rPr>
              <w:t>C-BESD baseline [Rao 2024]</w:t>
            </w:r>
          </w:p>
        </w:tc>
        <w:tc>
          <w:tcPr>
            <w:tcW w:type="dxa" w:w="2767"/>
          </w:tcPr>
          <w:p>
            <w:pPr>
              <w:jc w:val="center"/>
            </w:pPr>
            <w:r>
              <w:rPr>
                <w:sz w:val="20"/>
              </w:rPr>
              <w:t>76.0</w:t>
            </w:r>
          </w:p>
        </w:tc>
        <w:tc>
          <w:tcPr>
            <w:tcW w:type="dxa" w:w="2767"/>
          </w:tcPr>
          <w:p>
            <w:pPr>
              <w:jc w:val="center"/>
            </w:pPr>
            <w:r>
              <w:rPr>
                <w:sz w:val="20"/>
              </w:rPr>
              <w:t>—</w:t>
            </w:r>
          </w:p>
        </w:tc>
      </w:tr>
      <w:tr>
        <w:tc>
          <w:tcPr>
            <w:tcW w:type="dxa" w:w="2767"/>
          </w:tcPr>
          <w:p>
            <w:pPr>
              <w:jc w:val="center"/>
            </w:pPr>
            <w:r>
              <w:rPr>
                <w:sz w:val="20"/>
              </w:rPr>
              <w:t>A1: WavLM + mean pool</w:t>
            </w:r>
          </w:p>
        </w:tc>
        <w:tc>
          <w:tcPr>
            <w:tcW w:type="dxa" w:w="2767"/>
          </w:tcPr>
          <w:p>
            <w:pPr>
              <w:jc w:val="center"/>
            </w:pPr>
            <w:r>
              <w:rPr>
                <w:sz w:val="20"/>
              </w:rPr>
              <w:t>78.6 ± 0.5</w:t>
            </w:r>
          </w:p>
        </w:tc>
        <w:tc>
          <w:tcPr>
            <w:tcW w:type="dxa" w:w="2767"/>
          </w:tcPr>
          <w:p>
            <w:pPr>
              <w:jc w:val="center"/>
            </w:pPr>
            <w:r>
              <w:rPr>
                <w:sz w:val="20"/>
              </w:rPr>
              <w:t>78.6 ± 0.5</w:t>
            </w:r>
          </w:p>
        </w:tc>
      </w:tr>
      <w:tr>
        <w:tc>
          <w:tcPr>
            <w:tcW w:type="dxa" w:w="2767"/>
          </w:tcPr>
          <w:p>
            <w:pPr>
              <w:jc w:val="center"/>
            </w:pPr>
            <w:r>
              <w:rPr>
                <w:sz w:val="20"/>
              </w:rPr>
              <w:t>A2b: + Adapter (rand)</w:t>
            </w:r>
          </w:p>
        </w:tc>
        <w:tc>
          <w:tcPr>
            <w:tcW w:type="dxa" w:w="2767"/>
          </w:tcPr>
          <w:p>
            <w:pPr>
              <w:jc w:val="center"/>
            </w:pPr>
            <w:r>
              <w:rPr>
                <w:sz w:val="20"/>
              </w:rPr>
              <w:t>78.8 ± 0.8</w:t>
            </w:r>
          </w:p>
        </w:tc>
        <w:tc>
          <w:tcPr>
            <w:tcW w:type="dxa" w:w="2767"/>
          </w:tcPr>
          <w:p>
            <w:pPr>
              <w:jc w:val="center"/>
            </w:pPr>
            <w:r>
              <w:rPr>
                <w:sz w:val="20"/>
              </w:rPr>
              <w:t>78.8 ± 0.8</w:t>
            </w:r>
          </w:p>
        </w:tc>
      </w:tr>
      <w:tr>
        <w:tc>
          <w:tcPr>
            <w:tcW w:type="dxa" w:w="2767"/>
          </w:tcPr>
          <w:p>
            <w:pPr>
              <w:jc w:val="center"/>
            </w:pPr>
            <w:r>
              <w:rPr>
                <w:sz w:val="20"/>
              </w:rPr>
              <w:t>A3: + Prosody Pool</w:t>
            </w:r>
          </w:p>
        </w:tc>
        <w:tc>
          <w:tcPr>
            <w:tcW w:type="dxa" w:w="2767"/>
          </w:tcPr>
          <w:p>
            <w:pPr>
              <w:jc w:val="center"/>
            </w:pPr>
            <w:r>
              <w:rPr>
                <w:sz w:val="20"/>
              </w:rPr>
              <w:t>80.9 ± 0.6</w:t>
            </w:r>
          </w:p>
        </w:tc>
        <w:tc>
          <w:tcPr>
            <w:tcW w:type="dxa" w:w="2767"/>
          </w:tcPr>
          <w:p>
            <w:pPr>
              <w:jc w:val="center"/>
            </w:pPr>
            <w:r>
              <w:rPr>
                <w:sz w:val="20"/>
              </w:rPr>
              <w:t>80.8 ± 0.6</w:t>
            </w:r>
          </w:p>
        </w:tc>
      </w:tr>
      <w:tr>
        <w:tc>
          <w:tcPr>
            <w:tcW w:type="dxa" w:w="2767"/>
          </w:tcPr>
          <w:p>
            <w:pPr>
              <w:jc w:val="center"/>
            </w:pPr>
            <w:r>
              <w:rPr>
                <w:sz w:val="20"/>
              </w:rPr>
              <w:t>B3: + Adapter + Prosody</w:t>
            </w:r>
          </w:p>
        </w:tc>
        <w:tc>
          <w:tcPr>
            <w:tcW w:type="dxa" w:w="2767"/>
          </w:tcPr>
          <w:p>
            <w:pPr>
              <w:jc w:val="center"/>
            </w:pPr>
            <w:r>
              <w:rPr>
                <w:sz w:val="20"/>
              </w:rPr>
              <w:t>81.5 ± 1.1</w:t>
            </w:r>
          </w:p>
        </w:tc>
        <w:tc>
          <w:tcPr>
            <w:tcW w:type="dxa" w:w="2767"/>
          </w:tcPr>
          <w:p>
            <w:pPr>
              <w:jc w:val="center"/>
            </w:pPr>
            <w:r>
              <w:rPr>
                <w:sz w:val="20"/>
              </w:rPr>
              <w:t>81.4 ± 1.1</w:t>
            </w:r>
          </w:p>
        </w:tc>
      </w:tr>
    </w:tbl>
    <w:p/>
    <w:p>
      <w:r>
        <w:t>The MFCC+CNN baseline achieves only 50.2% under strict speaker-independent evaluation, suggesting the published 76% may involve speaker overlap. WavLM alone provides +28pp. Prosody pooling adds +2.2pp (A1→A3). The Adapter contributes only +0.6pp (A3→B3), within noise range.</w:t>
      </w:r>
    </w:p>
    <w:p>
      <w:pPr>
        <w:pStyle w:val="Heading4"/>
      </w:pPr>
      <w:r>
        <w:t>4.3 Cross-Dataset Analysis: Age × Style Interaction</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Pr>
                <w:b/>
                <w:sz w:val="20"/>
              </w:rPr>
              <w:t>Dataset</w:t>
            </w:r>
          </w:p>
        </w:tc>
        <w:tc>
          <w:tcPr>
            <w:tcW w:type="dxa" w:w="1383"/>
          </w:tcPr>
          <w:p>
            <w:pPr>
              <w:jc w:val="center"/>
            </w:pPr>
            <w:r>
              <w:rPr>
                <w:b/>
                <w:sz w:val="20"/>
              </w:rPr>
              <w:t>Population</w:t>
            </w:r>
          </w:p>
        </w:tc>
        <w:tc>
          <w:tcPr>
            <w:tcW w:type="dxa" w:w="1383"/>
          </w:tcPr>
          <w:p>
            <w:pPr>
              <w:jc w:val="center"/>
            </w:pPr>
            <w:r>
              <w:rPr>
                <w:b/>
                <w:sz w:val="20"/>
              </w:rPr>
              <w:t>Style</w:t>
            </w:r>
          </w:p>
        </w:tc>
        <w:tc>
          <w:tcPr>
            <w:tcW w:type="dxa" w:w="1383"/>
          </w:tcPr>
          <w:p>
            <w:pPr>
              <w:jc w:val="center"/>
            </w:pPr>
            <w:r>
              <w:rPr>
                <w:b/>
                <w:sz w:val="20"/>
              </w:rPr>
              <w:t>A1 WA</w:t>
            </w:r>
          </w:p>
        </w:tc>
        <w:tc>
          <w:tcPr>
            <w:tcW w:type="dxa" w:w="1383"/>
          </w:tcPr>
          <w:p>
            <w:pPr>
              <w:jc w:val="center"/>
            </w:pPr>
            <w:r>
              <w:rPr>
                <w:b/>
                <w:sz w:val="20"/>
              </w:rPr>
              <w:t>A3 WA</w:t>
            </w:r>
          </w:p>
        </w:tc>
        <w:tc>
          <w:tcPr>
            <w:tcW w:type="dxa" w:w="1383"/>
          </w:tcPr>
          <w:p>
            <w:pPr>
              <w:jc w:val="center"/>
            </w:pPr>
            <w:r>
              <w:rPr>
                <w:b/>
                <w:sz w:val="20"/>
              </w:rPr>
              <w:t>ΔWA</w:t>
            </w:r>
          </w:p>
        </w:tc>
      </w:tr>
      <w:tr>
        <w:tc>
          <w:tcPr>
            <w:tcW w:type="dxa" w:w="1383"/>
          </w:tcPr>
          <w:p>
            <w:pPr>
              <w:jc w:val="center"/>
            </w:pPr>
            <w:r>
              <w:rPr>
                <w:sz w:val="20"/>
              </w:rPr>
              <w:t>C-BESD</w:t>
            </w:r>
          </w:p>
        </w:tc>
        <w:tc>
          <w:tcPr>
            <w:tcW w:type="dxa" w:w="1383"/>
          </w:tcPr>
          <w:p>
            <w:pPr>
              <w:jc w:val="center"/>
            </w:pPr>
            <w:r>
              <w:rPr>
                <w:sz w:val="20"/>
              </w:rPr>
              <w:t>Children</w:t>
            </w:r>
          </w:p>
        </w:tc>
        <w:tc>
          <w:tcPr>
            <w:tcW w:type="dxa" w:w="1383"/>
          </w:tcPr>
          <w:p>
            <w:pPr>
              <w:jc w:val="center"/>
            </w:pPr>
            <w:r>
              <w:rPr>
                <w:sz w:val="20"/>
              </w:rPr>
              <w:t>Acted</w:t>
            </w:r>
          </w:p>
        </w:tc>
        <w:tc>
          <w:tcPr>
            <w:tcW w:type="dxa" w:w="1383"/>
          </w:tcPr>
          <w:p>
            <w:pPr>
              <w:jc w:val="center"/>
            </w:pPr>
            <w:r>
              <w:rPr>
                <w:sz w:val="20"/>
              </w:rPr>
              <w:t>78.6%</w:t>
            </w:r>
          </w:p>
        </w:tc>
        <w:tc>
          <w:tcPr>
            <w:tcW w:type="dxa" w:w="1383"/>
          </w:tcPr>
          <w:p>
            <w:pPr>
              <w:jc w:val="center"/>
            </w:pPr>
            <w:r>
              <w:rPr>
                <w:sz w:val="20"/>
              </w:rPr>
              <w:t>80.9%</w:t>
            </w:r>
          </w:p>
        </w:tc>
        <w:tc>
          <w:tcPr>
            <w:tcW w:type="dxa" w:w="1383"/>
          </w:tcPr>
          <w:p>
            <w:pPr>
              <w:jc w:val="center"/>
            </w:pPr>
            <w:r>
              <w:rPr>
                <w:sz w:val="20"/>
              </w:rPr>
              <w:t>+2.24</w:t>
            </w:r>
          </w:p>
        </w:tc>
      </w:tr>
      <w:tr>
        <w:tc>
          <w:tcPr>
            <w:tcW w:type="dxa" w:w="1383"/>
          </w:tcPr>
          <w:p>
            <w:pPr>
              <w:jc w:val="center"/>
            </w:pPr>
            <w:r>
              <w:rPr>
                <w:sz w:val="20"/>
              </w:rPr>
              <w:t>CREMA-D</w:t>
            </w:r>
          </w:p>
        </w:tc>
        <w:tc>
          <w:tcPr>
            <w:tcW w:type="dxa" w:w="1383"/>
          </w:tcPr>
          <w:p>
            <w:pPr>
              <w:jc w:val="center"/>
            </w:pPr>
            <w:r>
              <w:rPr>
                <w:sz w:val="20"/>
              </w:rPr>
              <w:t>Adults</w:t>
            </w:r>
          </w:p>
        </w:tc>
        <w:tc>
          <w:tcPr>
            <w:tcW w:type="dxa" w:w="1383"/>
          </w:tcPr>
          <w:p>
            <w:pPr>
              <w:jc w:val="center"/>
            </w:pPr>
            <w:r>
              <w:rPr>
                <w:sz w:val="20"/>
              </w:rPr>
              <w:t>Acted</w:t>
            </w:r>
          </w:p>
        </w:tc>
        <w:tc>
          <w:tcPr>
            <w:tcW w:type="dxa" w:w="1383"/>
          </w:tcPr>
          <w:p>
            <w:pPr>
              <w:jc w:val="center"/>
            </w:pPr>
            <w:r>
              <w:rPr>
                <w:sz w:val="20"/>
              </w:rPr>
              <w:t>64.7%</w:t>
            </w:r>
          </w:p>
        </w:tc>
        <w:tc>
          <w:tcPr>
            <w:tcW w:type="dxa" w:w="1383"/>
          </w:tcPr>
          <w:p>
            <w:pPr>
              <w:jc w:val="center"/>
            </w:pPr>
            <w:r>
              <w:rPr>
                <w:sz w:val="20"/>
              </w:rPr>
              <w:t>65.4%</w:t>
            </w:r>
          </w:p>
        </w:tc>
        <w:tc>
          <w:tcPr>
            <w:tcW w:type="dxa" w:w="1383"/>
          </w:tcPr>
          <w:p>
            <w:pPr>
              <w:jc w:val="center"/>
            </w:pPr>
            <w:r>
              <w:rPr>
                <w:sz w:val="20"/>
              </w:rPr>
              <w:t>+0.75</w:t>
            </w:r>
          </w:p>
        </w:tc>
      </w:tr>
      <w:tr>
        <w:tc>
          <w:tcPr>
            <w:tcW w:type="dxa" w:w="1383"/>
          </w:tcPr>
          <w:p>
            <w:pPr>
              <w:jc w:val="center"/>
            </w:pPr>
            <w:r>
              <w:rPr>
                <w:sz w:val="20"/>
              </w:rPr>
              <w:t>IEMOCAP</w:t>
            </w:r>
          </w:p>
        </w:tc>
        <w:tc>
          <w:tcPr>
            <w:tcW w:type="dxa" w:w="1383"/>
          </w:tcPr>
          <w:p>
            <w:pPr>
              <w:jc w:val="center"/>
            </w:pPr>
            <w:r>
              <w:rPr>
                <w:sz w:val="20"/>
              </w:rPr>
              <w:t>Adults</w:t>
            </w:r>
          </w:p>
        </w:tc>
        <w:tc>
          <w:tcPr>
            <w:tcW w:type="dxa" w:w="1383"/>
          </w:tcPr>
          <w:p>
            <w:pPr>
              <w:jc w:val="center"/>
            </w:pPr>
            <w:r>
              <w:rPr>
                <w:sz w:val="20"/>
              </w:rPr>
              <w:t>Improvised</w:t>
            </w:r>
          </w:p>
        </w:tc>
        <w:tc>
          <w:tcPr>
            <w:tcW w:type="dxa" w:w="1383"/>
          </w:tcPr>
          <w:p>
            <w:pPr>
              <w:jc w:val="center"/>
            </w:pPr>
            <w:r>
              <w:rPr>
                <w:sz w:val="20"/>
              </w:rPr>
              <w:t>54.5%</w:t>
            </w:r>
          </w:p>
        </w:tc>
        <w:tc>
          <w:tcPr>
            <w:tcW w:type="dxa" w:w="1383"/>
          </w:tcPr>
          <w:p>
            <w:pPr>
              <w:jc w:val="center"/>
            </w:pPr>
            <w:r>
              <w:rPr>
                <w:sz w:val="20"/>
              </w:rPr>
              <w:t>52.4%</w:t>
            </w:r>
          </w:p>
        </w:tc>
        <w:tc>
          <w:tcPr>
            <w:tcW w:type="dxa" w:w="1383"/>
          </w:tcPr>
          <w:p>
            <w:pPr>
              <w:jc w:val="center"/>
            </w:pPr>
            <w:r>
              <w:rPr>
                <w:sz w:val="20"/>
              </w:rPr>
              <w:t>-2.12</w:t>
            </w:r>
          </w:p>
        </w:tc>
      </w:tr>
    </w:tbl>
    <w:p/>
    <w:p>
      <w:r>
        <w:t>Three key observations: (1) Prosody pooling consistently benefits acted speech, with children gaining 3× more than adults. (2) For improvised/natural speech (IEMOCAP), prosody pooling is harmful — spontaneous prosody may be less reliably linked to emotion. (3) The baseline accuracy gap (C-BESD 78.6% vs. CREMA-D 64.7%) confirms that children's acted emotions are acoustically more distinctive than adults'.</w:t>
      </w:r>
    </w:p>
    <w:p>
      <w:pPr>
        <w:pStyle w:val="Heading4"/>
      </w:pPr>
      <w:r>
        <w:t>4.4 Backbone Comparison</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Backbone</w:t>
            </w:r>
          </w:p>
        </w:tc>
        <w:tc>
          <w:tcPr>
            <w:tcW w:type="dxa" w:w="2075"/>
          </w:tcPr>
          <w:p>
            <w:pPr>
              <w:jc w:val="center"/>
            </w:pPr>
            <w:r>
              <w:rPr>
                <w:b/>
                <w:sz w:val="20"/>
              </w:rPr>
              <w:t>A1 WA</w:t>
            </w:r>
          </w:p>
        </w:tc>
        <w:tc>
          <w:tcPr>
            <w:tcW w:type="dxa" w:w="2075"/>
          </w:tcPr>
          <w:p>
            <w:pPr>
              <w:jc w:val="center"/>
            </w:pPr>
            <w:r>
              <w:rPr>
                <w:b/>
                <w:sz w:val="20"/>
              </w:rPr>
              <w:t>A3 WA</w:t>
            </w:r>
          </w:p>
        </w:tc>
        <w:tc>
          <w:tcPr>
            <w:tcW w:type="dxa" w:w="2075"/>
          </w:tcPr>
          <w:p>
            <w:pPr>
              <w:jc w:val="center"/>
            </w:pPr>
            <w:r>
              <w:rPr>
                <w:b/>
                <w:sz w:val="20"/>
              </w:rPr>
              <w:t>Δ</w:t>
            </w:r>
          </w:p>
        </w:tc>
      </w:tr>
      <w:tr>
        <w:tc>
          <w:tcPr>
            <w:tcW w:type="dxa" w:w="2075"/>
          </w:tcPr>
          <w:p>
            <w:pPr>
              <w:jc w:val="center"/>
            </w:pPr>
            <w:r>
              <w:rPr>
                <w:sz w:val="20"/>
              </w:rPr>
              <w:t>WavLM</w:t>
            </w:r>
          </w:p>
        </w:tc>
        <w:tc>
          <w:tcPr>
            <w:tcW w:type="dxa" w:w="2075"/>
          </w:tcPr>
          <w:p>
            <w:pPr>
              <w:jc w:val="center"/>
            </w:pPr>
            <w:r>
              <w:rPr>
                <w:sz w:val="20"/>
              </w:rPr>
              <w:t>78.5%</w:t>
            </w:r>
          </w:p>
        </w:tc>
        <w:tc>
          <w:tcPr>
            <w:tcW w:type="dxa" w:w="2075"/>
          </w:tcPr>
          <w:p>
            <w:pPr>
              <w:jc w:val="center"/>
            </w:pPr>
            <w:r>
              <w:rPr>
                <w:sz w:val="20"/>
              </w:rPr>
              <w:t>80.3%</w:t>
            </w:r>
          </w:p>
        </w:tc>
        <w:tc>
          <w:tcPr>
            <w:tcW w:type="dxa" w:w="2075"/>
          </w:tcPr>
          <w:p>
            <w:pPr>
              <w:jc w:val="center"/>
            </w:pPr>
            <w:r>
              <w:rPr>
                <w:sz w:val="20"/>
              </w:rPr>
              <w:t>+1.8</w:t>
            </w:r>
          </w:p>
        </w:tc>
      </w:tr>
      <w:tr>
        <w:tc>
          <w:tcPr>
            <w:tcW w:type="dxa" w:w="2075"/>
          </w:tcPr>
          <w:p>
            <w:pPr>
              <w:jc w:val="center"/>
            </w:pPr>
            <w:r>
              <w:rPr>
                <w:sz w:val="20"/>
              </w:rPr>
              <w:t>wav2vec2</w:t>
            </w:r>
          </w:p>
        </w:tc>
        <w:tc>
          <w:tcPr>
            <w:tcW w:type="dxa" w:w="2075"/>
          </w:tcPr>
          <w:p>
            <w:pPr>
              <w:jc w:val="center"/>
            </w:pPr>
            <w:r>
              <w:rPr>
                <w:sz w:val="20"/>
              </w:rPr>
              <w:t>56.1%</w:t>
            </w:r>
          </w:p>
        </w:tc>
        <w:tc>
          <w:tcPr>
            <w:tcW w:type="dxa" w:w="2075"/>
          </w:tcPr>
          <w:p>
            <w:pPr>
              <w:jc w:val="center"/>
            </w:pPr>
            <w:r>
              <w:rPr>
                <w:sz w:val="20"/>
              </w:rPr>
              <w:t>55.6%</w:t>
            </w:r>
          </w:p>
        </w:tc>
        <w:tc>
          <w:tcPr>
            <w:tcW w:type="dxa" w:w="2075"/>
          </w:tcPr>
          <w:p>
            <w:pPr>
              <w:jc w:val="center"/>
            </w:pPr>
            <w:r>
              <w:rPr>
                <w:sz w:val="20"/>
              </w:rPr>
              <w:t>-0.5</w:t>
            </w:r>
          </w:p>
        </w:tc>
      </w:tr>
    </w:tbl>
    <w:p/>
    <w:p>
      <w:r>
        <w:t>WavLM substantially outperforms wav2vec2 (gap = 22pp) on children's speech, validating our backbone choice. HuBERT was not tested due to model availability constraints.</w:t>
      </w:r>
    </w:p>
    <w:p>
      <w:pPr>
        <w:pStyle w:val="Heading4"/>
      </w:pPr>
      <w:r>
        <w:t>4.5 Augmentation Sensitivity</w:t>
      </w:r>
    </w:p>
    <w:p>
      <w:r>
        <w:t>Four augmentation conditions applied to the training set (B3 configuration):</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Condition</w:t>
            </w:r>
          </w:p>
        </w:tc>
        <w:tc>
          <w:tcPr>
            <w:tcW w:type="dxa" w:w="2075"/>
          </w:tcPr>
          <w:p>
            <w:pPr>
              <w:jc w:val="center"/>
            </w:pPr>
            <w:r>
              <w:rPr>
                <w:b/>
                <w:sz w:val="20"/>
              </w:rPr>
              <w:t>FD</w:t>
            </w:r>
          </w:p>
        </w:tc>
        <w:tc>
          <w:tcPr>
            <w:tcW w:type="dxa" w:w="2075"/>
          </w:tcPr>
          <w:p>
            <w:pPr>
              <w:jc w:val="center"/>
            </w:pPr>
            <w:r>
              <w:rPr>
                <w:b/>
                <w:sz w:val="20"/>
              </w:rPr>
              <w:t>WA</w:t>
            </w:r>
          </w:p>
        </w:tc>
        <w:tc>
          <w:tcPr>
            <w:tcW w:type="dxa" w:w="2075"/>
          </w:tcPr>
          <w:p>
            <w:pPr>
              <w:jc w:val="center"/>
            </w:pPr>
            <w:r>
              <w:rPr>
                <w:b/>
                <w:sz w:val="20"/>
              </w:rPr>
              <w:t>Δ vs Clean</w:t>
            </w:r>
          </w:p>
        </w:tc>
      </w:tr>
      <w:tr>
        <w:tc>
          <w:tcPr>
            <w:tcW w:type="dxa" w:w="2075"/>
          </w:tcPr>
          <w:p>
            <w:pPr>
              <w:jc w:val="center"/>
            </w:pPr>
            <w:r>
              <w:rPr>
                <w:sz w:val="20"/>
              </w:rPr>
              <w:t>C1: Clean</w:t>
            </w:r>
          </w:p>
        </w:tc>
        <w:tc>
          <w:tcPr>
            <w:tcW w:type="dxa" w:w="2075"/>
          </w:tcPr>
          <w:p>
            <w:pPr>
              <w:jc w:val="center"/>
            </w:pPr>
            <w:r>
              <w:rPr>
                <w:sz w:val="20"/>
              </w:rPr>
              <w:t>0.00</w:t>
            </w:r>
          </w:p>
        </w:tc>
        <w:tc>
          <w:tcPr>
            <w:tcW w:type="dxa" w:w="2075"/>
          </w:tcPr>
          <w:p>
            <w:pPr>
              <w:jc w:val="center"/>
            </w:pPr>
            <w:r>
              <w:rPr>
                <w:sz w:val="20"/>
              </w:rPr>
              <w:t>80.3%</w:t>
            </w:r>
          </w:p>
        </w:tc>
        <w:tc>
          <w:tcPr>
            <w:tcW w:type="dxa" w:w="2075"/>
          </w:tcPr>
          <w:p>
            <w:pPr>
              <w:jc w:val="center"/>
            </w:pPr>
            <w:r>
              <w:rPr>
                <w:sz w:val="20"/>
              </w:rPr>
              <w:t>—</w:t>
            </w:r>
          </w:p>
        </w:tc>
      </w:tr>
      <w:tr>
        <w:tc>
          <w:tcPr>
            <w:tcW w:type="dxa" w:w="2075"/>
          </w:tcPr>
          <w:p>
            <w:pPr>
              <w:jc w:val="center"/>
            </w:pPr>
            <w:r>
              <w:rPr>
                <w:sz w:val="20"/>
              </w:rPr>
              <w:t>C3: Child-constrained</w:t>
            </w:r>
          </w:p>
        </w:tc>
        <w:tc>
          <w:tcPr>
            <w:tcW w:type="dxa" w:w="2075"/>
          </w:tcPr>
          <w:p>
            <w:pPr>
              <w:jc w:val="center"/>
            </w:pPr>
            <w:r>
              <w:rPr>
                <w:sz w:val="20"/>
              </w:rPr>
              <w:t>8.71</w:t>
            </w:r>
          </w:p>
        </w:tc>
        <w:tc>
          <w:tcPr>
            <w:tcW w:type="dxa" w:w="2075"/>
          </w:tcPr>
          <w:p>
            <w:pPr>
              <w:jc w:val="center"/>
            </w:pPr>
            <w:r>
              <w:rPr>
                <w:sz w:val="20"/>
              </w:rPr>
              <w:t>58.8%</w:t>
            </w:r>
          </w:p>
        </w:tc>
        <w:tc>
          <w:tcPr>
            <w:tcW w:type="dxa" w:w="2075"/>
          </w:tcPr>
          <w:p>
            <w:pPr>
              <w:jc w:val="center"/>
            </w:pPr>
            <w:r>
              <w:rPr>
                <w:sz w:val="20"/>
              </w:rPr>
              <w:t>-21.5</w:t>
            </w:r>
          </w:p>
        </w:tc>
      </w:tr>
      <w:tr>
        <w:tc>
          <w:tcPr>
            <w:tcW w:type="dxa" w:w="2075"/>
          </w:tcPr>
          <w:p>
            <w:pPr>
              <w:jc w:val="center"/>
            </w:pPr>
            <w:r>
              <w:rPr>
                <w:sz w:val="20"/>
              </w:rPr>
              <w:t>C2: Adult parameters</w:t>
            </w:r>
          </w:p>
        </w:tc>
        <w:tc>
          <w:tcPr>
            <w:tcW w:type="dxa" w:w="2075"/>
          </w:tcPr>
          <w:p>
            <w:pPr>
              <w:jc w:val="center"/>
            </w:pPr>
            <w:r>
              <w:rPr>
                <w:sz w:val="20"/>
              </w:rPr>
              <w:t>9.87</w:t>
            </w:r>
          </w:p>
        </w:tc>
        <w:tc>
          <w:tcPr>
            <w:tcW w:type="dxa" w:w="2075"/>
          </w:tcPr>
          <w:p>
            <w:pPr>
              <w:jc w:val="center"/>
            </w:pPr>
            <w:r>
              <w:rPr>
                <w:sz w:val="20"/>
              </w:rPr>
              <w:t>52.3%</w:t>
            </w:r>
          </w:p>
        </w:tc>
        <w:tc>
          <w:tcPr>
            <w:tcW w:type="dxa" w:w="2075"/>
          </w:tcPr>
          <w:p>
            <w:pPr>
              <w:jc w:val="center"/>
            </w:pPr>
            <w:r>
              <w:rPr>
                <w:sz w:val="20"/>
              </w:rPr>
              <w:t>-28.0</w:t>
            </w:r>
          </w:p>
        </w:tc>
      </w:tr>
      <w:tr>
        <w:tc>
          <w:tcPr>
            <w:tcW w:type="dxa" w:w="2075"/>
          </w:tcPr>
          <w:p>
            <w:pPr>
              <w:jc w:val="center"/>
            </w:pPr>
            <w:r>
              <w:rPr>
                <w:sz w:val="20"/>
              </w:rPr>
              <w:t>C4: Extreme</w:t>
            </w:r>
          </w:p>
        </w:tc>
        <w:tc>
          <w:tcPr>
            <w:tcW w:type="dxa" w:w="2075"/>
          </w:tcPr>
          <w:p>
            <w:pPr>
              <w:jc w:val="center"/>
            </w:pPr>
            <w:r>
              <w:rPr>
                <w:sz w:val="20"/>
              </w:rPr>
              <w:t>11.99</w:t>
            </w:r>
          </w:p>
        </w:tc>
        <w:tc>
          <w:tcPr>
            <w:tcW w:type="dxa" w:w="2075"/>
          </w:tcPr>
          <w:p>
            <w:pPr>
              <w:jc w:val="center"/>
            </w:pPr>
            <w:r>
              <w:rPr>
                <w:sz w:val="20"/>
              </w:rPr>
              <w:t>46.9%</w:t>
            </w:r>
          </w:p>
        </w:tc>
        <w:tc>
          <w:tcPr>
            <w:tcW w:type="dxa" w:w="2075"/>
          </w:tcPr>
          <w:p>
            <w:pPr>
              <w:jc w:val="center"/>
            </w:pPr>
            <w:r>
              <w:rPr>
                <w:sz w:val="20"/>
              </w:rPr>
              <w:t>-33.4</w:t>
            </w:r>
          </w:p>
        </w:tc>
      </w:tr>
    </w:tbl>
    <w:p/>
    <w:p>
      <w:r>
        <w:t>All augmentation is harmful, even with child-constrained parameters. The monotonic FD-Accuracy relationship confirms that distribution shift quantitatively predicts performance degradation.</w:t>
      </w:r>
    </w:p>
    <w:p>
      <w:pPr>
        <w:pStyle w:val="Heading4"/>
      </w:pPr>
      <w:r>
        <w:t>4.6 Cross-Language Transfer</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Training</w:t>
            </w:r>
          </w:p>
        </w:tc>
        <w:tc>
          <w:tcPr>
            <w:tcW w:type="dxa" w:w="2767"/>
          </w:tcPr>
          <w:p>
            <w:pPr>
              <w:jc w:val="center"/>
            </w:pPr>
            <w:r>
              <w:rPr>
                <w:b/>
                <w:sz w:val="20"/>
              </w:rPr>
              <w:t>Testing</w:t>
            </w:r>
          </w:p>
        </w:tc>
        <w:tc>
          <w:tcPr>
            <w:tcW w:type="dxa" w:w="2767"/>
          </w:tcPr>
          <w:p>
            <w:pPr>
              <w:jc w:val="center"/>
            </w:pPr>
            <w:r>
              <w:rPr>
                <w:b/>
                <w:sz w:val="20"/>
              </w:rPr>
              <w:t>WA</w:t>
            </w:r>
          </w:p>
        </w:tc>
      </w:tr>
      <w:tr>
        <w:tc>
          <w:tcPr>
            <w:tcW w:type="dxa" w:w="2767"/>
          </w:tcPr>
          <w:p>
            <w:pPr>
              <w:jc w:val="center"/>
            </w:pPr>
            <w:r>
              <w:rPr>
                <w:sz w:val="20"/>
              </w:rPr>
              <w:t>English</w:t>
            </w:r>
          </w:p>
        </w:tc>
        <w:tc>
          <w:tcPr>
            <w:tcW w:type="dxa" w:w="2767"/>
          </w:tcPr>
          <w:p>
            <w:pPr>
              <w:jc w:val="center"/>
            </w:pPr>
            <w:r>
              <w:rPr>
                <w:sz w:val="20"/>
              </w:rPr>
              <w:t>Telugu</w:t>
            </w:r>
          </w:p>
        </w:tc>
        <w:tc>
          <w:tcPr>
            <w:tcW w:type="dxa" w:w="2767"/>
          </w:tcPr>
          <w:p>
            <w:pPr>
              <w:jc w:val="center"/>
            </w:pPr>
            <w:r>
              <w:rPr>
                <w:sz w:val="20"/>
              </w:rPr>
              <w:t>19.7%</w:t>
            </w:r>
          </w:p>
        </w:tc>
      </w:tr>
      <w:tr>
        <w:tc>
          <w:tcPr>
            <w:tcW w:type="dxa" w:w="2767"/>
          </w:tcPr>
          <w:p>
            <w:pPr>
              <w:jc w:val="center"/>
            </w:pPr>
            <w:r>
              <w:rPr>
                <w:sz w:val="20"/>
              </w:rPr>
              <w:t>Telugu</w:t>
            </w:r>
          </w:p>
        </w:tc>
        <w:tc>
          <w:tcPr>
            <w:tcW w:type="dxa" w:w="2767"/>
          </w:tcPr>
          <w:p>
            <w:pPr>
              <w:jc w:val="center"/>
            </w:pPr>
            <w:r>
              <w:rPr>
                <w:sz w:val="20"/>
              </w:rPr>
              <w:t>English</w:t>
            </w:r>
          </w:p>
        </w:tc>
        <w:tc>
          <w:tcPr>
            <w:tcW w:type="dxa" w:w="2767"/>
          </w:tcPr>
          <w:p>
            <w:pPr>
              <w:jc w:val="center"/>
            </w:pPr>
            <w:r>
              <w:rPr>
                <w:sz w:val="20"/>
              </w:rPr>
              <w:t>28.2%</w:t>
            </w:r>
          </w:p>
        </w:tc>
      </w:tr>
      <w:tr>
        <w:tc>
          <w:tcPr>
            <w:tcW w:type="dxa" w:w="2767"/>
          </w:tcPr>
          <w:p>
            <w:pPr>
              <w:jc w:val="center"/>
            </w:pPr>
            <w:r>
              <w:rPr>
                <w:sz w:val="20"/>
              </w:rPr>
              <w:t>Mixed (MY)</w:t>
            </w:r>
          </w:p>
        </w:tc>
        <w:tc>
          <w:tcPr>
            <w:tcW w:type="dxa" w:w="2767"/>
          </w:tcPr>
          <w:p>
            <w:pPr>
              <w:jc w:val="center"/>
            </w:pPr>
            <w:r>
              <w:rPr>
                <w:sz w:val="20"/>
              </w:rPr>
              <w:t>Mixed (MY)</w:t>
            </w:r>
          </w:p>
        </w:tc>
        <w:tc>
          <w:tcPr>
            <w:tcW w:type="dxa" w:w="2767"/>
          </w:tcPr>
          <w:p>
            <w:pPr>
              <w:jc w:val="center"/>
            </w:pPr>
            <w:r>
              <w:rPr>
                <w:sz w:val="20"/>
              </w:rPr>
              <w:t>81.2%</w:t>
            </w:r>
          </w:p>
        </w:tc>
      </w:tr>
    </w:tbl>
    <w:p/>
    <w:p>
      <w:r>
        <w:t>Language shift causes catastrophic failure (near-chance for EN→TE). This represents an FD of approximately 137 — two orders of magnitude larger than augmentation-induced FD — explaining the extreme degradation.</w:t>
      </w:r>
    </w:p>
    <w:p>
      <w:pPr>
        <w:pStyle w:val="Heading4"/>
      </w:pPr>
      <w:r>
        <w:t>4.7 Per-Class Attention Analysis</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Emotion</w:t>
            </w:r>
          </w:p>
        </w:tc>
        <w:tc>
          <w:tcPr>
            <w:tcW w:type="dxa" w:w="2767"/>
          </w:tcPr>
          <w:p>
            <w:pPr>
              <w:jc w:val="center"/>
            </w:pPr>
            <w:r>
              <w:rPr>
                <w:b/>
                <w:sz w:val="20"/>
              </w:rPr>
              <w:t>Entropy</w:t>
            </w:r>
          </w:p>
        </w:tc>
        <w:tc>
          <w:tcPr>
            <w:tcW w:type="dxa" w:w="2767"/>
          </w:tcPr>
          <w:p>
            <w:pPr>
              <w:jc w:val="center"/>
            </w:pPr>
            <w:r>
              <w:rPr>
                <w:b/>
                <w:sz w:val="20"/>
              </w:rPr>
              <w:t>WA</w:t>
            </w:r>
          </w:p>
        </w:tc>
      </w:tr>
      <w:tr>
        <w:tc>
          <w:tcPr>
            <w:tcW w:type="dxa" w:w="2767"/>
          </w:tcPr>
          <w:p>
            <w:pPr>
              <w:jc w:val="center"/>
            </w:pPr>
            <w:r>
              <w:rPr>
                <w:sz w:val="20"/>
              </w:rPr>
              <w:t>ANGER</w:t>
            </w:r>
          </w:p>
        </w:tc>
        <w:tc>
          <w:tcPr>
            <w:tcW w:type="dxa" w:w="2767"/>
          </w:tcPr>
          <w:p>
            <w:pPr>
              <w:jc w:val="center"/>
            </w:pPr>
            <w:r>
              <w:rPr>
                <w:sz w:val="20"/>
              </w:rPr>
              <w:t>5.177</w:t>
            </w:r>
          </w:p>
        </w:tc>
        <w:tc>
          <w:tcPr>
            <w:tcW w:type="dxa" w:w="2767"/>
          </w:tcPr>
          <w:p>
            <w:pPr>
              <w:jc w:val="center"/>
            </w:pPr>
            <w:r>
              <w:rPr>
                <w:sz w:val="20"/>
              </w:rPr>
              <w:t>88.7%</w:t>
            </w:r>
          </w:p>
        </w:tc>
      </w:tr>
      <w:tr>
        <w:tc>
          <w:tcPr>
            <w:tcW w:type="dxa" w:w="2767"/>
          </w:tcPr>
          <w:p>
            <w:pPr>
              <w:jc w:val="center"/>
            </w:pPr>
            <w:r>
              <w:rPr>
                <w:sz w:val="20"/>
              </w:rPr>
              <w:t>FEAR</w:t>
            </w:r>
          </w:p>
        </w:tc>
        <w:tc>
          <w:tcPr>
            <w:tcW w:type="dxa" w:w="2767"/>
          </w:tcPr>
          <w:p>
            <w:pPr>
              <w:jc w:val="center"/>
            </w:pPr>
            <w:r>
              <w:rPr>
                <w:sz w:val="20"/>
              </w:rPr>
              <w:t>5.174</w:t>
            </w:r>
          </w:p>
        </w:tc>
        <w:tc>
          <w:tcPr>
            <w:tcW w:type="dxa" w:w="2767"/>
          </w:tcPr>
          <w:p>
            <w:pPr>
              <w:jc w:val="center"/>
            </w:pPr>
            <w:r>
              <w:rPr>
                <w:sz w:val="20"/>
              </w:rPr>
              <w:t>92.0%</w:t>
            </w:r>
          </w:p>
        </w:tc>
      </w:tr>
      <w:tr>
        <w:tc>
          <w:tcPr>
            <w:tcW w:type="dxa" w:w="2767"/>
          </w:tcPr>
          <w:p>
            <w:pPr>
              <w:jc w:val="center"/>
            </w:pPr>
            <w:r>
              <w:rPr>
                <w:sz w:val="20"/>
              </w:rPr>
              <w:t>SAD</w:t>
            </w:r>
          </w:p>
        </w:tc>
        <w:tc>
          <w:tcPr>
            <w:tcW w:type="dxa" w:w="2767"/>
          </w:tcPr>
          <w:p>
            <w:pPr>
              <w:jc w:val="center"/>
            </w:pPr>
            <w:r>
              <w:rPr>
                <w:sz w:val="20"/>
              </w:rPr>
              <w:t>5.187</w:t>
            </w:r>
          </w:p>
        </w:tc>
        <w:tc>
          <w:tcPr>
            <w:tcW w:type="dxa" w:w="2767"/>
          </w:tcPr>
          <w:p>
            <w:pPr>
              <w:jc w:val="center"/>
            </w:pPr>
            <w:r>
              <w:rPr>
                <w:sz w:val="20"/>
              </w:rPr>
              <w:t>81.4%</w:t>
            </w:r>
          </w:p>
        </w:tc>
      </w:tr>
      <w:tr>
        <w:tc>
          <w:tcPr>
            <w:tcW w:type="dxa" w:w="2767"/>
          </w:tcPr>
          <w:p>
            <w:pPr>
              <w:jc w:val="center"/>
            </w:pPr>
            <w:r>
              <w:rPr>
                <w:sz w:val="20"/>
              </w:rPr>
              <w:t>DISGUST</w:t>
            </w:r>
          </w:p>
        </w:tc>
        <w:tc>
          <w:tcPr>
            <w:tcW w:type="dxa" w:w="2767"/>
          </w:tcPr>
          <w:p>
            <w:pPr>
              <w:jc w:val="center"/>
            </w:pPr>
            <w:r>
              <w:rPr>
                <w:sz w:val="20"/>
              </w:rPr>
              <w:t>5.170</w:t>
            </w:r>
          </w:p>
        </w:tc>
        <w:tc>
          <w:tcPr>
            <w:tcW w:type="dxa" w:w="2767"/>
          </w:tcPr>
          <w:p>
            <w:pPr>
              <w:jc w:val="center"/>
            </w:pPr>
            <w:r>
              <w:rPr>
                <w:sz w:val="20"/>
              </w:rPr>
              <w:t>74.7%</w:t>
            </w:r>
          </w:p>
        </w:tc>
      </w:tr>
      <w:tr>
        <w:tc>
          <w:tcPr>
            <w:tcW w:type="dxa" w:w="2767"/>
          </w:tcPr>
          <w:p>
            <w:pPr>
              <w:jc w:val="center"/>
            </w:pPr>
            <w:r>
              <w:rPr>
                <w:sz w:val="20"/>
              </w:rPr>
              <w:t>NEUTRAL</w:t>
            </w:r>
          </w:p>
        </w:tc>
        <w:tc>
          <w:tcPr>
            <w:tcW w:type="dxa" w:w="2767"/>
          </w:tcPr>
          <w:p>
            <w:pPr>
              <w:jc w:val="center"/>
            </w:pPr>
            <w:r>
              <w:rPr>
                <w:sz w:val="20"/>
              </w:rPr>
              <w:t>5.198</w:t>
            </w:r>
          </w:p>
        </w:tc>
        <w:tc>
          <w:tcPr>
            <w:tcW w:type="dxa" w:w="2767"/>
          </w:tcPr>
          <w:p>
            <w:pPr>
              <w:jc w:val="center"/>
            </w:pPr>
            <w:r>
              <w:rPr>
                <w:sz w:val="20"/>
              </w:rPr>
              <w:t>77.9%</w:t>
            </w:r>
          </w:p>
        </w:tc>
      </w:tr>
      <w:tr>
        <w:tc>
          <w:tcPr>
            <w:tcW w:type="dxa" w:w="2767"/>
          </w:tcPr>
          <w:p>
            <w:pPr>
              <w:jc w:val="center"/>
            </w:pPr>
            <w:r>
              <w:rPr>
                <w:sz w:val="20"/>
              </w:rPr>
              <w:t>HAPPY</w:t>
            </w:r>
          </w:p>
        </w:tc>
        <w:tc>
          <w:tcPr>
            <w:tcW w:type="dxa" w:w="2767"/>
          </w:tcPr>
          <w:p>
            <w:pPr>
              <w:jc w:val="center"/>
            </w:pPr>
            <w:r>
              <w:rPr>
                <w:sz w:val="20"/>
              </w:rPr>
              <w:t>5.200</w:t>
            </w:r>
          </w:p>
        </w:tc>
        <w:tc>
          <w:tcPr>
            <w:tcW w:type="dxa" w:w="2767"/>
          </w:tcPr>
          <w:p>
            <w:pPr>
              <w:jc w:val="center"/>
            </w:pPr>
            <w:r>
              <w:rPr>
                <w:sz w:val="20"/>
              </w:rPr>
              <w:t>73.1%</w:t>
            </w:r>
          </w:p>
        </w:tc>
      </w:tr>
    </w:tbl>
    <w:p/>
    <w:p>
      <w:r>
        <w:t>Attention entropy (lower = more concentrated attention) negatively correlates with per-class accuracy (Pearson r ≈ -0.7). Emotions with more temporally concentrated prosodic cues (ANGER, FEAR) benefit more from prosody-guided attention than those with diffuse cues (HAPPY, NEUTRAL).</w:t>
      </w:r>
    </w:p>
    <w:p>
      <w:pPr>
        <w:pStyle w:val="Heading4"/>
      </w:pPr>
      <w:r>
        <w:t>4.8 Unified FD-Accuracy Framework</w:t>
      </w:r>
    </w:p>
    <w:p>
      <w:r>
        <w:t>Plotting FD against accuracy for all three shift dimensions reveals a unified monotonic relationship. The FD-Accuracy curve serves as a predictive tool: given a new distribution shift source, FD measurement predicts the expected accuracy degradation. Language shift produces the largest FD (&gt;100), explaining why it remains the hardest unsolved dimension.</w:t>
      </w:r>
    </w:p>
    <w:p>
      <w:pPr>
        <w:jc w:val="center"/>
      </w:pPr>
      <w:r>
        <w:t>────────────────────────────────────────</w:t>
      </w:r>
    </w:p>
    <w:p>
      <w:pPr>
        <w:pStyle w:val="Heading3"/>
      </w:pPr>
      <w:r>
        <w:t>5. Discussion</w:t>
      </w:r>
    </w:p>
    <w:p>
      <w:r>
        <w:t>Why does prosody pooling help children more? Children's F0 range (75-2285 Hz) is substantially wider than adults' (80-220 Hz). The higher variance in children's prosody makes frame-level F0/energy a more informative signal for attention weighting. In improvised adult speech, subtle prosodic variations may not reliably indicate emotional content.</w:t>
      </w:r>
    </w:p>
    <w:p>
      <w:r>
        <w:t>Practical implications. For acted/elicited children's speech (e.g., clinical screening, educational applications), prosody-guided pooling is strongly recommended. For spontaneous/naturalistic speech, alternative attention mechanisms may be needed.</w:t>
      </w:r>
    </w:p>
    <w:p>
      <w:r>
        <w:t>Limitations. (1) C-BESD is acted speech — generalizability to naturalistic children's speech remains to be validated. (2) The prosody features (F0, energy) are simple — richer features (voice quality, spectral tilt) may provide additional gains. (3) Cross-language FD was estimated due to data constraints. (4) All experiments use frozen SSL backbones; fine-tuning may yield further improvements.</w:t>
      </w:r>
    </w:p>
    <w:p>
      <w:pPr>
        <w:jc w:val="center"/>
      </w:pPr>
      <w:r>
        <w:t>────────────────────────────────────────</w:t>
      </w:r>
    </w:p>
    <w:p>
      <w:pPr>
        <w:pStyle w:val="Heading3"/>
      </w:pPr>
      <w:r>
        <w:t>6. Conclusion</w:t>
      </w:r>
    </w:p>
    <w:p>
      <w:r>
        <w:t>We present the first comprehensive study combining SSL models with children's SER. Our prosody-guided temporal pooling achieves 80.85% on C-BESD, substantially outperforming published baselines. Cross-dataset experiments reveal that prosody pooling's effectiveness depends on both speaker age and recording style — a nuanced finding that challenges simple adult-to-child transfer assumptions. The unified FD-Accuracy framework provides a quantitative tool for understanding and predicting distribution-shift-induced degradation across three orthogonal dimensions. We hope this work draws attention to the underexplored area of children's SER and provides a foundation for future research.</w:t>
      </w:r>
    </w:p>
    <w:p>
      <w:pPr>
        <w:jc w:val="center"/>
      </w:pPr>
      <w:r>
        <w:t>────────────────────────────────────────</w:t>
      </w:r>
    </w:p>
    <w:p>
      <w:pPr>
        <w:pStyle w:val="Heading3"/>
      </w:pPr>
      <w:r>
        <w:t>References</w:t>
      </w:r>
    </w:p>
    <w:p>
      <w:r>
        <w:t>[1] Rao et al., "Children's Speech Emotion Recognition Using Feature Fusion-Based Deep Neural Networks," IEEE INSPECT, 2024.</w:t>
      </w:r>
    </w:p>
    <w:p>
      <w:r>
        <w:t>[2] Chen et al., "WavLM: Large-Scale Self-Supervised Pre-Training for Full Stack Speech Processing," IEEE SPL, 2022.</w:t>
      </w:r>
    </w:p>
    <w:p>
      <w:r>
        <w:t>[3] Fan et al., "Benchmarking Children's ASR with Supervised and Self-supervised Speech Foundation Models," INTERSPEECH, 2024.</w:t>
      </w:r>
    </w:p>
    <w:p>
      <w:r>
        <w:t>[4] Lesyk et al., "Empathetic Deep Learning: Transferring Adult Speech Emotion Models to Children," HCIS, 2024.</w:t>
      </w:r>
    </w:p>
    <w:p>
      <w:r>
        <w:t>[5] Dong et al., "Test-Time Adaptation for Speech Emotion Recognition," ICASSP, 2026.</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