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Distribution-Driven Child Speech Emotion Recognition</w:t>
      </w:r>
    </w:p>
    <w:p>
      <w:pPr>
        <w:jc w:val="center"/>
      </w:pPr>
      <w:r>
        <w:rPr>
          <w:i/>
          <w:color w:val="646464"/>
          <w:sz w:val="24"/>
        </w:rPr>
        <w:t>INTERSPEECH / ICASSP 2026 — Working Draft</w:t>
      </w:r>
    </w:p>
    <w:p/>
    <w:p>
      <w:pPr>
        <w:pStyle w:val="Heading1"/>
      </w:pPr>
      <w:r>
        <w:t>Abstract</w:t>
      </w:r>
    </w:p>
    <w:p>
      <w:r>
        <w:t>Child speech emotion recognition (SER) systems are routinely trained and evaluated on acted corpora, yet deployed in naturalistic settings where vocal expressions are subtle, noisy, and distributionally distinct. We study this gap through a distribution-driven pipeline built on frozen WavLM features, learnable layer fusion, and a strictly parameter-matched comparison (N{=111{,105 trainable parameters per pooling head) between prosody-guided temporal importance pooling and pure self-attention pooling.</w:t>
      </w:r>
    </w:p>
    <w:p>
      <w:r>
        <w:t>Across six controlled experiments on acted child speech (C-BESD), spontaneous child speech (FAU Aibo), and adult speech (IEMOCAP), three findings emerge. First, zero-shot transfer from acted to spontaneous child speech collapses to 18.70% weighted accuracy (WA)---below the four-class chance level---despite 92.78% in-domain acted performance, confirming that distribution shift, not architecture, is the dominant failure mode (Fr\'{echet distance FD=16.33). Second, on naturalistic FAU Aibo speech under strong regularization, prosody-guided pooling matches or slightly exceeds self-attention in WA (66.36% vs. 66.18%), acting as a structural regularizer against environmental noise. Third, sacrificing only 1.48 percentage points on acted C-BESD buys interpretability: attention weights correlate strongly with frame-level energy (APC_{wav{=0.698), enabling clinically actionable explanations unavailable from black-box self-attention.</w:t>
      </w:r>
    </w:p>
    <w:p>
      <w:r>
        <w:t>We argue that deployable child SER should be evaluated on spontaneous speech and optimized for explainability, not leaderboard accuracy on acted benchmarks alone.</w:t>
      </w:r>
    </w:p>
    <w:p>
      <w:pPr>
        <w:pStyle w:val="Heading1"/>
      </w:pPr>
      <w:r>
        <w:t>Introduction</w:t>
      </w:r>
    </w:p>
    <w:p>
      <w:r>
        <w:t>Speech emotion recognition (SER) underpins affect-aware interfaces in education, pediatric healthcare, and human--robot interaction. For children's speech, the problem is compounded by wider fundamental-frequency ranges, immature articulation, and limited availability of spontaneous, labeled corpora. Most child SER systems therefore rely on acted datasets recorded under studio conditions, where emotions are exaggerated and acoustically stereotyped.</w:t>
      </w:r>
    </w:p>
    <w:p>
      <w:r>
        <w:t>This practice creates a silent validity crisis. A model that achieves high accuracy on acted child speech may learn dataset-specific prototypes rather than generalizable emotional cues. When such models encounter spontaneous child vocalizations---as in the FAU Aibo child--robot corpus---performance can collapse catastrophically. Yet the field continues to report in-domain acted accuracy as the primary success metric.</w:t>
      </w:r>
    </w:p>
    <w:p>
      <w:pPr>
        <w:pStyle w:val="Heading2"/>
      </w:pPr>
      <w:r>
        <w:t>Motivation: Distribution Shift as the Central Variable</w:t>
      </w:r>
    </w:p>
    <w:p>
      <w:r>
        <w:t>Recent self-supervised learning (SSL) backbones such as WavLM provide powerful frame-level representations, but downstream design choices (pooling, adaptation, regularization) still determine whether emotion-relevant information is extracted or whether the model overfits to corpus artifacts. Mean pooling discards temporal structure; unconstrained self-attention pooling can attend to arbitrary feature dimensions without physical interpretability.</w:t>
      </w:r>
    </w:p>
    <w:p>
      <w:r>
        <w:t>Children's emotional expression is strongly linked to prosody: pitch excursions, energy bursts, and rhythm irregularities that differ systematically from adult speech . We hypothesize that explicitly conditioning temporal attention on frame-level F0 and RMS energy provides an inductive bias that (i) accelerates learning, (ii) regularizes models on noisy spontaneous speech, and (iii) anchors decisions to measurable acoustic events.</w:t>
      </w:r>
    </w:p>
    <w:p>
      <w:pPr>
        <w:pStyle w:val="Heading2"/>
      </w:pPr>
      <w:r>
        <w:t>Contributions</w:t>
      </w:r>
    </w:p>
    <w:p>
      <w:r>
        <w:t>This paper makes four contributions:</w:t>
      </w:r>
    </w:p>
    <w:p>
      <w:pPr>
        <w:pStyle w:val="ListNumber"/>
      </w:pPr>
      <w:r>
        <w:t>A distribution-driven evaluation protocol spanning acted child (C-BESD), spontaneous child (FAU Aibo), and adult (IEMOCAP) corpora, with speaker-disjoint splits and dual metrics (WA and UAR).</w:t>
      </w:r>
    </w:p>
    <w:p>
      <w:pPr>
        <w:pStyle w:val="ListNumber"/>
      </w:pPr>
      <w:r>
        <w:t>Prosody-guided temporal importance pooling fused with frozen WavLM and learnable 12-layer weighting, compared against a strictly parameter-matched self-attention baseline (111,105 parameters each).</w:t>
      </w:r>
    </w:p>
    <w:p>
      <w:pPr>
        <w:pStyle w:val="ListNumber"/>
      </w:pPr>
      <w:r>
        <w:t>Quantification of the acted--spontaneous chasm: zero-shot C-BESD→FAU transfer yields only 18.70% WA (vs. 92.78% in-domain), with monotonic FD--accuracy degradation across age, style, and language shifts.</w:t>
      </w:r>
    </w:p>
    <w:p>
      <w:pPr>
        <w:pStyle w:val="ListNumber"/>
      </w:pPr>
      <w:r>
        <w:t>An accuracy--explainability trade-off analysis: prosody-guided pooling achieves APC_{wav{=0.698 with attention locked to energy peaks, justifying a 1.48pp WA sacrifice on acted data for deployable interpretability in safety-critical applications.</w:t>
      </w:r>
    </w:p>
    <w:p>
      <w:pPr>
        <w:pStyle w:val="Heading2"/>
      </w:pPr>
      <w:r>
        <w:t>Paper Organization</w:t>
      </w:r>
    </w:p>
    <w:p>
      <w:r>
        <w:t>Section [sec:methodology] describes the model architecture and training protocol. Section [sec:experiments_results] presents the full experimental matrix. Section [sec:analysis_discussion] interprets results through three pillars: distribution-shift failure, prosody as structural regularization, and explainability. Section [sec:conclusion] summarizes implications and future work.</w:t>
      </w:r>
    </w:p>
    <w:p>
      <w:pPr>
        <w:pStyle w:val="Heading1"/>
      </w:pPr>
      <w:r>
        <w:t>Related Work</w:t>
      </w:r>
    </w:p>
    <w:p>
      <w:r>
        <w:rPr>
          <w:b/>
          <w:sz w:val="22"/>
        </w:rPr>
        <w:t xml:space="preserve">Self-supervised speech representations for SER.. </w:t>
      </w:r>
    </w:p>
    <w:p>
      <w:r>
        <w:t>WavLM, HuBERT, and emotion-specialized models (e.g., emotion2vec) provide frame-level embeddings that have largely replaced hand-crafted features in SER . Layer-wise analysis shows that mid-to-upper transformer layers often carry the most emotion-discriminative information , motivating learnable layer fusion rather than fixed layer selection.</w:t>
      </w:r>
    </w:p>
    <w:p>
      <w:r>
        <w:rPr>
          <w:b/>
          <w:sz w:val="22"/>
        </w:rPr>
        <w:t xml:space="preserve">Temporal pooling and attention.. </w:t>
      </w:r>
    </w:p>
    <w:p>
      <w:r>
        <w:t>Attention-based pooling aggregates frame sequences into utterance-level vectors but typically operates only in the SSL feature space. Our prosody-guided variant injects frame-aligned F0 and energy as an explicit prior, related in spirit to knowledge-guided attention in paralinguistics but implemented with strict parameter parity against a self-attention ablation.</w:t>
      </w:r>
    </w:p>
    <w:p>
      <w:r>
        <w:rPr>
          <w:b/>
          <w:sz w:val="22"/>
        </w:rPr>
        <w:t xml:space="preserve">Child speech and corpus bias.. </w:t>
      </w:r>
    </w:p>
    <w:p>
      <w:r>
        <w:t>Child SER datasets remain scarce; C-BESD and FAU Aibo represent contrasting regimes (acted vs. spontaneous). Prior work reports strong in-domain acted performance but rarely quantifies cross-style transfer at scale. We complement parametric Fr\'{echet distance (FD) with kernel-based speech MMD (SMMD) to characterize distribution shift non-parametrically.</w:t>
      </w:r>
    </w:p>
    <w:p>
      <w:r>
        <w:rPr>
          <w:b/>
          <w:sz w:val="22"/>
        </w:rPr>
        <w:t xml:space="preserve">Explainability in affective computing.. </w:t>
      </w:r>
    </w:p>
    <w:p>
      <w:r>
        <w:t>Post-hoc saliency maps are common, but correlation between learned attention and physical prosody (our APC metric) offers a lightweight, deployment-friendly interpretability probe suitable for clinical review workflows.</w:t>
      </w:r>
    </w:p>
    <w:p>
      <w:pPr>
        <w:pStyle w:val="Heading1"/>
      </w:pPr>
      <w:r>
        <w:t>Methodology</w:t>
      </w:r>
    </w:p>
    <w:p>
      <w:r>
        <w:t>We propose a distribution-driven framework for child speech emotion recognition (SER) that replaces the conventional mean-pooling paradigm with Prosody-Guided Temporal Importance Pooling---an attention mechanism explicitly conditioned on frame-level acoustic prosody. The complete pipeline consists of four stages: (1) a frozen self-supervised backbone, (2) learnable layer fusion, (3) prosody-guided or self-attention pooling, and (4) an SE-MLP classifier.</w:t>
      </w:r>
    </w:p>
    <w:p>
      <w:pPr>
        <w:pStyle w:val="Heading2"/>
      </w:pPr>
      <w:r>
        <w:t>Frozen SSL Backbone</w:t>
      </w:r>
    </w:p>
    <w:p>
      <w:r>
        <w:t>We adopt WavLM Base+ (94M parameters) as a frozen feature extractor. Given a raw waveform {x ℝ^{T_{wav sampled at 16 kHz, the model produces 13 hidden-state tensors: one input-embedding layer plus 12 transformer layers, each of shape (T, 768) at a 50 Hz frame rate (hop size 320 samples = 20 ms). All backbone parameters are frozen throughout training; no gradient flows into the SSL model.</w:t>
      </w:r>
    </w:p>
    <w:p>
      <w:pPr>
        <w:pStyle w:val="Heading2"/>
      </w:pPr>
      <w:r>
        <w:t>Learnable Weighted Layer Fusion</w:t>
      </w:r>
    </w:p>
    <w:p>
      <w:r>
        <w:t>Different transformer layers encode different levels of abstraction---lower layers capture acoustic detail, upper layers capture higher-level semantic and emotional content . Rather than selecting a single layer, we learn a weighted combination:</w:t>
      </w:r>
    </w:p>
    <w:p>
      <w:pPr>
        <w:jc w:val="center"/>
      </w:pPr>
      <w:r>
        <w:rPr>
          <w:i/>
          <w:color w:val="505050"/>
          <w:sz w:val="20"/>
        </w:rPr>
        <w:t>{H = _{l=1^{12 w_l {H^{(l), where w_l = {(α_l){_{j=1^{12(α_j),</w:t>
      </w:r>
    </w:p>
    <w:p>
      <w:r>
        <w:t>and \{α_l\_{l=1^{12 are trainable scalar parameters initialized to 1/12. Layer 0 (input embeddings) is discarded, retaining only the 12 transformer layers. This introduces only 12 trainable parameters, negligible compared to the pooling and classifier heads.</w:t>
      </w:r>
    </w:p>
    <w:p>
      <w:pPr>
        <w:pStyle w:val="Heading2"/>
      </w:pPr>
      <w:r>
        <w:t>Prosody-Guided Temporal Importance Pooling</w:t>
      </w:r>
    </w:p>
    <w:p>
      <w:r>
        <w:rPr>
          <w:b/>
          <w:sz w:val="22"/>
        </w:rPr>
        <w:t xml:space="preserve">Motivation.. </w:t>
      </w:r>
    </w:p>
    <w:p>
      <w:r>
        <w:t>Children's emotional speech exhibits wider F0 excursions (250--400 Hz vs. adult 80--200 Hz), irregular rhythm, and higher energy variability than adult speech . Standard attention pooling computes frame importance solely from the SSL feature space, lacking an explicit mechanism to prioritize prosodically salient frames. We hypothesize that injecting frame-level prosodic signals as an inductive bias will (a) accelerate convergence by reducing the search space of useful attention patterns, and (b) improve interpretability by anchoring attention to physically measurable acoustic events.</w:t>
      </w:r>
    </w:p>
    <w:p>
      <w:r>
        <w:rPr>
          <w:b/>
          <w:sz w:val="22"/>
        </w:rPr>
        <w:t xml:space="preserve">Prosody extraction.. </w:t>
      </w:r>
    </w:p>
    <w:p>
      <w:r>
        <w:t>For each utterance, we extract frame-aligned F0 and RMS energy using librosa :</w:t>
      </w:r>
    </w:p>
    <w:p>
      <w:pPr>
        <w:pStyle w:val="ListBullet"/>
      </w:pPr>
      <w:r>
        <w:t>F0: Computed via the YIN algorithm (fmin = 65 Hz, fmax = 2093 Hz to cover children's high F0 range), hop length 320 samples. Unvoiced frames receive F0=0.</w:t>
      </w:r>
    </w:p>
    <w:p>
      <w:pPr>
        <w:pStyle w:val="ListBullet"/>
      </w:pPr>
      <w:r>
        <w:t>RMS energy: Root mean square energy with the same hop length.</w:t>
      </w:r>
    </w:p>
    <w:p>
      <w:r>
        <w:t>Both features are aligned to the SSL frame rate (50 Hz) via linear interpolation when minor length mismatches occur.</w:t>
      </w:r>
    </w:p>
    <w:p>
      <w:r>
        <w:rPr>
          <w:b/>
          <w:sz w:val="22"/>
        </w:rPr>
        <w:t xml:space="preserve">Normalization.. </w:t>
      </w:r>
    </w:p>
    <w:p>
      <w:r>
        <w:t>F0 is normalized by dividing by the fmax ceiling: {f_t = f_t / 2093. Energy is normalized per-utterance by dividing by the maximum frame energy: {e_t = e_t / _{τ\{e_τ\. This produces two signals in [0, 1] that are concatenated into a 2-dimensional prosody vector per frame.</w:t>
      </w:r>
    </w:p>
    <w:p>
      <w:r>
        <w:rPr>
          <w:b/>
          <w:sz w:val="22"/>
        </w:rPr>
        <w:t xml:space="preserve">Architecture.. </w:t>
      </w:r>
    </w:p>
    <w:p>
      <w:r>
        <w:t>The prosody vector is projected to a 64-dimensional embedding through a two-layer MLP:</w:t>
      </w:r>
    </w:p>
    <w:p>
      <w:pPr>
        <w:jc w:val="center"/>
      </w:pPr>
      <w:r>
        <w:rPr>
          <w:i/>
          <w:color w:val="505050"/>
          <w:sz w:val="20"/>
        </w:rPr>
        <w:t>{p_t = Linear_{64 64(ReLU(Linear_{2 64([{f_t, {e_t]))).</w:t>
      </w:r>
    </w:p>
    <w:p>
      <w:r>
        <w:t>This embedding is concatenated with the SSL frame feature {h_t ℝ^{768 to form an 832-dimensional joint representation, which is passed through a fusion attention head:</w:t>
      </w:r>
    </w:p>
    <w:p>
      <w:pPr>
        <w:jc w:val="center"/>
      </w:pPr>
      <w:r>
        <w:rPr>
          <w:i/>
          <w:color w:val="505050"/>
          <w:sz w:val="20"/>
        </w:rPr>
        <w:t>α_t = {(Linear_{128 1((Linear_{832 128([{h_t; {p_t])))){_{τ=1^{T (Linear_{128 1((Linear_{832 128([{h_τ; {p_τ])))).</w:t>
      </w:r>
    </w:p>
    <w:p>
      <w:r>
        <w:t>The final utterance representation is the attention-weighted sum:</w:t>
      </w:r>
    </w:p>
    <w:p>
      <w:pPr>
        <w:jc w:val="center"/>
      </w:pPr>
      <w:r>
        <w:rPr>
          <w:i/>
          <w:color w:val="505050"/>
          <w:sz w:val="20"/>
        </w:rPr>
        <w:t>{u = _{t=1^{T α_t {h_t ℝ^{768.</w:t>
      </w:r>
    </w:p>
    <w:p>
      <w:r>
        <w:t>Note that only the SSL features {h_t are summed; the prosody embedding influences attention weights but does not alter the feature space.</w:t>
      </w:r>
    </w:p>
    <w:p>
      <w:r>
        <w:rPr>
          <w:b/>
          <w:sz w:val="22"/>
        </w:rPr>
        <w:t xml:space="preserve">Optional dropout.. </w:t>
      </w:r>
    </w:p>
    <w:p>
      <w:r>
        <w:t>For spontaneous speech experiments that exhibit rapid overfitting (Section [ssec:main_results]), dropout layers (p=0.3) are inserted after the ReLU in the prosody projection and after the Tanh in the fusion head. This is controlled by a reg\_profile hyperparameter (see Section [sec:experiments_results]).</w:t>
      </w:r>
    </w:p>
    <w:p>
      <w:pPr>
        <w:pStyle w:val="Heading2"/>
      </w:pPr>
      <w:r>
        <w:t>Self-Attention Pooling (Ablation Baseline)</w:t>
      </w:r>
    </w:p>
    <w:p>
      <w:r>
        <w:t>To isolate the contribution of prosodic injection, we design a strictly parameter-matched baseline. Self-Attention Pooling computes attention weights using only the SSL features, without any prosody input:</w:t>
      </w:r>
    </w:p>
    <w:p>
      <w:pPr>
        <w:jc w:val="center"/>
      </w:pPr>
      <w:r>
        <w:rPr>
          <w:i/>
          <w:color w:val="505050"/>
          <w:sz w:val="20"/>
        </w:rPr>
        <w:t>α_t^{SA = softmax_t(Linear_{100 1((Linear_{100 100(ReLU(Linear_{116 100(ReLU(Linear_{768 116({h_t)))))))).</w:t>
      </w:r>
    </w:p>
    <w:p>
      <w:r>
        <w:t>The 4-layer MLP dimensions (7681161001001) are chosen specifically so that the total parameter count equals 111,105---identical to the prosody-guided variant.</w:t>
      </w:r>
    </w:p>
    <w:p>
      <w:r>
        <w:rPr>
          <w:b/>
          <w:sz w:val="22"/>
        </w:rPr>
        <w:t xml:space="preserve">Parameter parity proof.. </w:t>
      </w:r>
    </w:p>
    <w:p>
      <w:pPr>
        <w:jc w:val="center"/>
      </w:pPr>
      <w:r>
        <w:rPr>
          <w:i/>
          <w:color w:val="505050"/>
          <w:sz w:val="20"/>
        </w:rPr>
        <w:t>Prosody-Guided: &amp; {(2 × 64 + 64)_{proj_1 + {(64 × 64 + 64)_{proj_2 + {(832 × 128 + 128)_{attn_1 + {(128 × 1 + 1)_{attn_2 = 111{,105 Self-Attention: &amp; {(768 × 116 + 116)_{layer_1 + {(116 × 100 + 100)_{layer_2 + {(100 × 100 + 100)_{layer_3 + {(100 × 1 + 1)_{layer_4 = 111{,105</w:t>
      </w:r>
    </w:p>
    <w:p>
      <w:r>
        <w:t>This strict parity ensures that any performance difference between the two pooling variants is attributable solely to the prosodic inductive bias, not to differences in model capacity.</w:t>
      </w:r>
    </w:p>
    <w:p>
      <w:pPr>
        <w:pStyle w:val="Heading2"/>
      </w:pPr>
      <w:r>
        <w:t>SE-MLP Classifier</w:t>
      </w:r>
    </w:p>
    <w:p>
      <w:r>
        <w:t>The pooled representation {u ℝ^{768 is classified by a 4-layer SE-MLP (Squeeze-and-Excitation MLP, {~593K parameters):</w:t>
      </w:r>
    </w:p>
    <w:p>
      <w:pPr>
        <w:jc w:val="center"/>
      </w:pPr>
      <w:r>
        <w:rPr>
          <w:i/>
          <w:color w:val="505050"/>
          <w:sz w:val="20"/>
        </w:rPr>
        <w:t>768 {Linear+BN+ReLU+Drop 512 {SE-gate 512 {Linear+BN+ReLU+Drop 256 {Linear+ReLU+Drop 128 {Linear C,</w:t>
      </w:r>
    </w:p>
    <w:p>
      <w:r>
        <w:t>where C=4 (angry, happy, neutral, sad). The SE block applies channel-wise gating via a bottleneck (512 32 512) with sigmoid activation.</w:t>
      </w:r>
    </w:p>
    <w:p>
      <w:pPr>
        <w:pStyle w:val="Heading2"/>
      </w:pPr>
      <w:r>
        <w:t>Training Configuration</w:t>
      </w:r>
    </w:p>
    <w:p>
      <w:r>
        <w:rPr>
          <w:b/>
          <w:sz w:val="22"/>
        </w:rPr>
        <w:t xml:space="preserve">Optimization.. </w:t>
      </w:r>
    </w:p>
    <w:p>
      <w:r>
        <w:t>AdamW optimizer with learning rate 3 × 10^{-4 and cosine annealing schedule. Maximum 100 epochs with early stopping (patience 15). All experiments use seed 42 for reproducibility.</w:t>
      </w:r>
    </w:p>
    <w:p>
      <w:r>
        <w:rPr>
          <w:b/>
          <w:sz w:val="22"/>
        </w:rPr>
        <w:t xml:space="preserve">Regularization profiles.. </w:t>
      </w:r>
    </w:p>
    <w:p>
      <w:r>
        <w:t>We define two profiles to address the distinct overfitting regimes of acted versus spontaneous speech:</w:t>
      </w:r>
    </w:p>
    <w:p>
      <w:pPr>
        <w:pStyle w:val="ListBullet"/>
      </w:pPr>
      <w:r>
        <w:t>Default (acted corpora: C-BESD, IEMOCAP): weight decay 10^{-3, label smoothing 0.1, no pooling dropout, no gradient clipping.</w:t>
      </w:r>
    </w:p>
    <w:p>
      <w:pPr>
        <w:pStyle w:val="ListBullet"/>
      </w:pPr>
      <w:r>
        <w:t>FAU (spontaneous FAU Aibo): weight decay 5 × 10^{-3, label smoothing 0.15, pooling dropout 0.3, gradient clipping at norm 1.0.</w:t>
      </w:r>
    </w:p>
    <w:p>
      <w:r>
        <w:t>The stronger FAU profile was motivated by preliminary runs where both pooling variants peaked at epoch 1 with rapid subsequent degradation.</w:t>
      </w:r>
    </w:p>
    <w:p>
      <w:r>
        <w:rPr>
          <w:b/>
          <w:sz w:val="22"/>
        </w:rPr>
        <w:t xml:space="preserve">Speaker-disjoint splitting.. </w:t>
      </w:r>
    </w:p>
    <w:p>
      <w:r>
        <w:t>All datasets are split into train/validation/test at the speaker level using deterministic MD5 hashing: each speaker ID is hashed to [0, 1) and assigned to train (70%), validation (15%), or test (15%) by threshold. This guarantees zero speaker overlap across splits and full reproducibility across machines.</w:t>
      </w:r>
    </w:p>
    <w:p>
      <w:r>
        <w:rPr>
          <w:b/>
          <w:sz w:val="22"/>
        </w:rPr>
        <w:t xml:space="preserve">Metrics.. </w:t>
      </w:r>
    </w:p>
    <w:p>
      <w:r>
        <w:t>We report weighted accuracy (WA) as the primary metric and unweighted average recall (UAR) to account for class imbalance.</w:t>
      </w:r>
    </w:p>
    <w:p>
      <w:pPr>
        <w:pStyle w:val="Heading2"/>
      </w:pPr>
      <w:r>
        <w:t>Explainability: Attention--Prosody Correlation (APC)</w:t>
      </w:r>
    </w:p>
    <w:p>
      <w:r>
        <w:t>To quantify the interpretability of prosody-guided attention, we define the Attention--Prosody Correlation (APC) metric. For each test utterance, we compute the Pearson correlation between the learned attention weight vector {α ℝ^T and a prosodic reference signal:</w:t>
      </w:r>
    </w:p>
    <w:p>
      <w:pPr>
        <w:pStyle w:val="ListBullet"/>
      </w:pPr>
      <w:r>
        <w:t>APC_{wav: correlation with frame-level RMS energy (measures whether attention tracks vocal intensity).</w:t>
      </w:r>
    </w:p>
    <w:p>
      <w:pPr>
        <w:pStyle w:val="ListBullet"/>
      </w:pPr>
      <w:r>
        <w:t>APC_{: correlation with frame-level |ΔF0| (measures whether attention tracks pitch transitions).</w:t>
      </w:r>
    </w:p>
    <w:p>
      <w:r>
        <w:t>Values are averaged across all test utterances. A high APC_{wav indicates that the model's decision-making is grounded in physically interpretable acoustic events, enabling post-hoc clinical explanation.</w:t>
      </w:r>
    </w:p>
    <w:p>
      <w:pPr>
        <w:pStyle w:val="Heading1"/>
      </w:pPr>
      <w:r>
        <w:t>Experiments and Results</w:t>
      </w:r>
    </w:p>
    <w:p>
      <w:pPr>
        <w:pStyle w:val="Heading2"/>
      </w:pPr>
      <w:r>
        <w:t>Experimental Protocol</w:t>
      </w:r>
    </w:p>
    <w:p>
      <w:r>
        <w:t>We evaluate on a unified four-class emotion space (angry / happy / neutral / sad) using weighted accuracy (WA) and unweighted average recall (UAR). The backbone is frozen WavLM Base+ with a learnable 12-layer weighted sum, followed by one of two parameter-matched pooling heads (111,105 parameters each), and an SEMLP classifier (~590K parameters).</w:t>
      </w:r>
    </w:p>
    <w:p>
      <w:r>
        <w:t>Two regularization profiles are used. The default profile (weight decay 10^{-3, label smoothing 0.1, no pooling dropout) is applied to acted corpora (C-BESD, IEMOCAP) to preserve baseline comparability. The fau profile (weight decay 5×10^{-3, label smoothing 0.15, pooling dropout 0.3, gradient clipping 1.0) is applied to spontaneous FAU Aibo experiments, targeting the rapid overfitting observed in preliminary runs.</w:t>
      </w:r>
    </w:p>
    <w:p>
      <w:r>
        <w:t>All splits are speaker-disjoint (70/15/15, deterministic MD5 hash).</w:t>
      </w:r>
    </w:p>
    <w:p>
      <w:pPr>
        <w:pStyle w:val="Heading2"/>
      </w:pPr>
      <w:r>
        <w:t>Main Results</w:t>
      </w:r>
    </w:p>
    <w:p>
      <w:r>
        <w:t>Table [tab:main_matrix] presents the complete ablation matrix across three corpora, two pooling variants, and two speech conditions.</w:t>
      </w:r>
    </w:p>
    <w:p>
      <w:r>
        <w:rPr>
          <w:b/>
          <w:sz w:val="20"/>
        </w:rPr>
        <w:t>Table: Full experimental matrix. Reg. indicates the regularization profile. Best WA per corpus pair in bold.</w:t>
      </w:r>
    </w:p>
    <w:tbl>
      <w:tblPr>
        <w:tblStyle w:val="LightShading-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spacing w:after="40" w:before="40"/>
            </w:pPr>
            <w:r>
              <w:rPr>
                <w:b/>
                <w:sz w:val="18"/>
              </w:rPr>
              <w:t>Exp</w:t>
            </w:r>
          </w:p>
        </w:tc>
        <w:tc>
          <w:tcPr>
            <w:tcW w:type="dxa" w:w="1080"/>
          </w:tcPr>
          <w:p>
            <w:pPr>
              <w:spacing w:after="40" w:before="40"/>
            </w:pPr>
            <w:r>
              <w:rPr>
                <w:b/>
                <w:sz w:val="18"/>
              </w:rPr>
              <w:t>Train</w:t>
            </w:r>
          </w:p>
        </w:tc>
        <w:tc>
          <w:tcPr>
            <w:tcW w:type="dxa" w:w="1080"/>
          </w:tcPr>
          <w:p>
            <w:pPr>
              <w:spacing w:after="40" w:before="40"/>
            </w:pPr>
            <w:r>
              <w:rPr>
                <w:b/>
                <w:sz w:val="18"/>
              </w:rPr>
              <w:t>Test</w:t>
            </w:r>
          </w:p>
        </w:tc>
        <w:tc>
          <w:tcPr>
            <w:tcW w:type="dxa" w:w="1080"/>
          </w:tcPr>
          <w:p>
            <w:pPr>
              <w:spacing w:after="40" w:before="40"/>
            </w:pPr>
            <w:r>
              <w:rPr>
                <w:b/>
                <w:sz w:val="18"/>
              </w:rPr>
              <w:t>Pooling</w:t>
            </w:r>
          </w:p>
        </w:tc>
        <w:tc>
          <w:tcPr>
            <w:tcW w:type="dxa" w:w="1080"/>
          </w:tcPr>
          <w:p>
            <w:pPr>
              <w:spacing w:after="40" w:before="40"/>
            </w:pPr>
            <w:r>
              <w:rPr>
                <w:b/>
                <w:sz w:val="18"/>
              </w:rPr>
              <w:t>Reg.</w:t>
            </w:r>
          </w:p>
        </w:tc>
        <w:tc>
          <w:tcPr>
            <w:tcW w:type="dxa" w:w="1080"/>
          </w:tcPr>
          <w:p>
            <w:pPr>
              <w:spacing w:after="40" w:before="40"/>
            </w:pPr>
            <w:r>
              <w:rPr>
                <w:b/>
                <w:sz w:val="18"/>
              </w:rPr>
              <w:t>WA (%)</w:t>
            </w:r>
          </w:p>
        </w:tc>
        <w:tc>
          <w:tcPr>
            <w:tcW w:type="dxa" w:w="1080"/>
          </w:tcPr>
          <w:p>
            <w:pPr>
              <w:spacing w:after="40" w:before="40"/>
            </w:pPr>
            <w:r>
              <w:rPr>
                <w:b/>
                <w:sz w:val="18"/>
              </w:rPr>
              <w:t>UAR (%)</w:t>
            </w:r>
          </w:p>
        </w:tc>
        <w:tc>
          <w:tcPr>
            <w:tcW w:type="dxa" w:w="1080"/>
          </w:tcPr>
          <w:p>
            <w:pPr>
              <w:spacing w:after="40" w:before="40"/>
            </w:pPr>
            <w:r>
              <w:rPr>
                <w:b/>
                <w:sz w:val="18"/>
              </w:rPr>
              <w:t>Epoch</w:t>
            </w:r>
          </w:p>
        </w:tc>
      </w:tr>
      <w:tr>
        <w:tc>
          <w:tcPr>
            <w:tcW w:type="dxa" w:w="1080"/>
          </w:tcPr>
          <w:p>
            <w:pPr>
              <w:spacing w:after="40" w:before="40"/>
            </w:pPr>
            <w:r>
              <w:rPr>
                <w:sz w:val="18"/>
              </w:rPr>
              <w:t>1</w:t>
            </w:r>
          </w:p>
        </w:tc>
        <w:tc>
          <w:tcPr>
            <w:tcW w:type="dxa" w:w="1080"/>
          </w:tcPr>
          <w:p>
            <w:pPr>
              <w:spacing w:after="40" w:before="40"/>
            </w:pPr>
            <w:r>
              <w:rPr>
                <w:sz w:val="18"/>
              </w:rPr>
              <w:t>C-BESD</w:t>
            </w:r>
          </w:p>
        </w:tc>
        <w:tc>
          <w:tcPr>
            <w:tcW w:type="dxa" w:w="1080"/>
          </w:tcPr>
          <w:p>
            <w:pPr>
              <w:spacing w:after="40" w:before="40"/>
            </w:pPr>
            <w:r>
              <w:rPr>
                <w:sz w:val="18"/>
              </w:rPr>
              <w:t>C-BESD</w:t>
            </w:r>
          </w:p>
        </w:tc>
        <w:tc>
          <w:tcPr>
            <w:tcW w:type="dxa" w:w="1080"/>
          </w:tcPr>
          <w:p>
            <w:pPr>
              <w:spacing w:after="40" w:before="40"/>
            </w:pPr>
            <w:r>
              <w:rPr>
                <w:sz w:val="18"/>
              </w:rPr>
              <w:t>Self-Attn</w:t>
            </w:r>
          </w:p>
        </w:tc>
        <w:tc>
          <w:tcPr>
            <w:tcW w:type="dxa" w:w="1080"/>
          </w:tcPr>
          <w:p>
            <w:pPr>
              <w:spacing w:after="40" w:before="40"/>
            </w:pPr>
            <w:r>
              <w:rPr>
                <w:sz w:val="18"/>
              </w:rPr>
              <w:t>default</w:t>
            </w:r>
          </w:p>
        </w:tc>
        <w:tc>
          <w:tcPr>
            <w:tcW w:type="dxa" w:w="1080"/>
          </w:tcPr>
          <w:p>
            <w:pPr>
              <w:spacing w:after="40" w:before="40"/>
            </w:pPr>
            <w:r>
              <w:rPr>
                <w:sz w:val="18"/>
              </w:rPr>
              <w:t>92.78</w:t>
            </w:r>
          </w:p>
        </w:tc>
        <w:tc>
          <w:tcPr>
            <w:tcW w:type="dxa" w:w="1080"/>
          </w:tcPr>
          <w:p>
            <w:pPr>
              <w:spacing w:after="40" w:before="40"/>
            </w:pPr>
            <w:r>
              <w:rPr>
                <w:sz w:val="18"/>
              </w:rPr>
              <w:t>92.79</w:t>
            </w:r>
          </w:p>
        </w:tc>
        <w:tc>
          <w:tcPr>
            <w:tcW w:type="dxa" w:w="1080"/>
          </w:tcPr>
          <w:p>
            <w:pPr>
              <w:spacing w:after="40" w:before="40"/>
            </w:pPr>
            <w:r>
              <w:rPr>
                <w:sz w:val="18"/>
              </w:rPr>
              <w:t>30</w:t>
            </w:r>
          </w:p>
        </w:tc>
      </w:tr>
      <w:tr>
        <w:tc>
          <w:tcPr>
            <w:tcW w:type="dxa" w:w="1080"/>
          </w:tcPr>
          <w:p>
            <w:pPr>
              <w:spacing w:after="40" w:before="40"/>
            </w:pPr>
            <w:r>
              <w:rPr>
                <w:sz w:val="18"/>
              </w:rPr>
              <w:t>2</w:t>
            </w:r>
          </w:p>
        </w:tc>
        <w:tc>
          <w:tcPr>
            <w:tcW w:type="dxa" w:w="1080"/>
          </w:tcPr>
          <w:p>
            <w:pPr>
              <w:spacing w:after="40" w:before="40"/>
            </w:pPr>
            <w:r>
              <w:rPr>
                <w:sz w:val="18"/>
              </w:rPr>
              <w:t>C-BESD</w:t>
            </w:r>
          </w:p>
        </w:tc>
        <w:tc>
          <w:tcPr>
            <w:tcW w:type="dxa" w:w="1080"/>
          </w:tcPr>
          <w:p>
            <w:pPr>
              <w:spacing w:after="40" w:before="40"/>
            </w:pPr>
            <w:r>
              <w:rPr>
                <w:sz w:val="18"/>
              </w:rPr>
              <w:t>C-BESD</w:t>
            </w:r>
          </w:p>
        </w:tc>
        <w:tc>
          <w:tcPr>
            <w:tcW w:type="dxa" w:w="1080"/>
          </w:tcPr>
          <w:p>
            <w:pPr>
              <w:spacing w:after="40" w:before="40"/>
            </w:pPr>
            <w:r>
              <w:rPr>
                <w:sz w:val="18"/>
              </w:rPr>
              <w:t>Prosody</w:t>
            </w:r>
          </w:p>
        </w:tc>
        <w:tc>
          <w:tcPr>
            <w:tcW w:type="dxa" w:w="1080"/>
          </w:tcPr>
          <w:p>
            <w:pPr>
              <w:spacing w:after="40" w:before="40"/>
            </w:pPr>
            <w:r>
              <w:rPr>
                <w:sz w:val="18"/>
              </w:rPr>
              <w:t>default</w:t>
            </w:r>
          </w:p>
        </w:tc>
        <w:tc>
          <w:tcPr>
            <w:tcW w:type="dxa" w:w="1080"/>
          </w:tcPr>
          <w:p>
            <w:pPr>
              <w:spacing w:after="40" w:before="40"/>
            </w:pPr>
            <w:r>
              <w:rPr>
                <w:sz w:val="18"/>
              </w:rPr>
              <w:t>91.30</w:t>
            </w:r>
          </w:p>
        </w:tc>
        <w:tc>
          <w:tcPr>
            <w:tcW w:type="dxa" w:w="1080"/>
          </w:tcPr>
          <w:p>
            <w:pPr>
              <w:spacing w:after="40" w:before="40"/>
            </w:pPr>
            <w:r>
              <w:rPr>
                <w:sz w:val="18"/>
              </w:rPr>
              <w:t>91.35</w:t>
            </w:r>
          </w:p>
        </w:tc>
        <w:tc>
          <w:tcPr>
            <w:tcW w:type="dxa" w:w="1080"/>
          </w:tcPr>
          <w:p>
            <w:pPr>
              <w:spacing w:after="40" w:before="40"/>
            </w:pPr>
            <w:r>
              <w:rPr>
                <w:sz w:val="18"/>
              </w:rPr>
              <w:t>10</w:t>
            </w:r>
          </w:p>
        </w:tc>
      </w:tr>
      <w:tr>
        <w:tc>
          <w:tcPr>
            <w:tcW w:type="dxa" w:w="1080"/>
          </w:tcPr>
          <w:p>
            <w:pPr>
              <w:spacing w:after="40" w:before="40"/>
            </w:pPr>
            <w:r>
              <w:rPr>
                <w:sz w:val="18"/>
              </w:rPr>
              <w:t>3</w:t>
            </w:r>
          </w:p>
        </w:tc>
        <w:tc>
          <w:tcPr>
            <w:tcW w:type="dxa" w:w="1080"/>
          </w:tcPr>
          <w:p>
            <w:pPr>
              <w:spacing w:after="40" w:before="40"/>
            </w:pPr>
            <w:r>
              <w:rPr>
                <w:sz w:val="18"/>
              </w:rPr>
              <w:t>IEMOCAP</w:t>
            </w:r>
          </w:p>
        </w:tc>
        <w:tc>
          <w:tcPr>
            <w:tcW w:type="dxa" w:w="1080"/>
          </w:tcPr>
          <w:p>
            <w:pPr>
              <w:spacing w:after="40" w:before="40"/>
            </w:pPr>
            <w:r>
              <w:rPr>
                <w:sz w:val="18"/>
              </w:rPr>
              <w:t>IEMOCAP</w:t>
            </w:r>
          </w:p>
        </w:tc>
        <w:tc>
          <w:tcPr>
            <w:tcW w:type="dxa" w:w="1080"/>
          </w:tcPr>
          <w:p>
            <w:pPr>
              <w:spacing w:after="40" w:before="40"/>
            </w:pPr>
            <w:r>
              <w:rPr>
                <w:sz w:val="18"/>
              </w:rPr>
              <w:t>Prosody</w:t>
            </w:r>
          </w:p>
        </w:tc>
        <w:tc>
          <w:tcPr>
            <w:tcW w:type="dxa" w:w="1080"/>
          </w:tcPr>
          <w:p>
            <w:pPr>
              <w:spacing w:after="40" w:before="40"/>
            </w:pPr>
            <w:r>
              <w:rPr>
                <w:sz w:val="18"/>
              </w:rPr>
              <w:t>default</w:t>
            </w:r>
          </w:p>
        </w:tc>
        <w:tc>
          <w:tcPr>
            <w:tcW w:type="dxa" w:w="1080"/>
          </w:tcPr>
          <w:p>
            <w:pPr>
              <w:spacing w:after="40" w:before="40"/>
            </w:pPr>
            <w:r>
              <w:rPr>
                <w:sz w:val="18"/>
              </w:rPr>
              <w:t>58.67</w:t>
            </w:r>
          </w:p>
        </w:tc>
        <w:tc>
          <w:tcPr>
            <w:tcW w:type="dxa" w:w="1080"/>
          </w:tcPr>
          <w:p>
            <w:pPr>
              <w:spacing w:after="40" w:before="40"/>
            </w:pPr>
            <w:r>
              <w:rPr>
                <w:sz w:val="18"/>
              </w:rPr>
              <w:t>59.11</w:t>
            </w:r>
          </w:p>
        </w:tc>
        <w:tc>
          <w:tcPr>
            <w:tcW w:type="dxa" w:w="1080"/>
          </w:tcPr>
          <w:p>
            <w:pPr>
              <w:spacing w:after="40" w:before="40"/>
            </w:pPr>
            <w:r>
              <w:rPr>
                <w:sz w:val="18"/>
              </w:rPr>
              <w:t>8</w:t>
            </w:r>
          </w:p>
        </w:tc>
      </w:tr>
      <w:tr>
        <w:tc>
          <w:tcPr>
            <w:tcW w:type="dxa" w:w="1080"/>
          </w:tcPr>
          <w:p>
            <w:pPr>
              <w:spacing w:after="40" w:before="40"/>
            </w:pPr>
            <w:r>
              <w:rPr>
                <w:sz w:val="18"/>
              </w:rPr>
              <w:t>4</w:t>
            </w:r>
          </w:p>
        </w:tc>
        <w:tc>
          <w:tcPr>
            <w:tcW w:type="dxa" w:w="1080"/>
          </w:tcPr>
          <w:p>
            <w:pPr>
              <w:spacing w:after="40" w:before="40"/>
            </w:pPr>
            <w:r>
              <w:rPr>
                <w:sz w:val="18"/>
              </w:rPr>
              <w:t>C-BESD</w:t>
            </w:r>
          </w:p>
        </w:tc>
        <w:tc>
          <w:tcPr>
            <w:tcW w:type="dxa" w:w="1080"/>
          </w:tcPr>
          <w:p>
            <w:pPr>
              <w:spacing w:after="40" w:before="40"/>
            </w:pPr>
            <w:r>
              <w:rPr>
                <w:sz w:val="18"/>
              </w:rPr>
              <w:t>FAU Aibo</w:t>
            </w:r>
          </w:p>
        </w:tc>
        <w:tc>
          <w:tcPr>
            <w:tcW w:type="dxa" w:w="1080"/>
          </w:tcPr>
          <w:p>
            <w:pPr>
              <w:spacing w:after="40" w:before="40"/>
            </w:pPr>
            <w:r>
              <w:rPr>
                <w:sz w:val="18"/>
              </w:rPr>
              <w:t>Prosody</w:t>
            </w:r>
          </w:p>
        </w:tc>
        <w:tc>
          <w:tcPr>
            <w:tcW w:type="dxa" w:w="1080"/>
          </w:tcPr>
          <w:p>
            <w:pPr>
              <w:spacing w:after="40" w:before="40"/>
            </w:pPr>
            <w:r>
              <w:rPr>
                <w:sz w:val="18"/>
              </w:rPr>
              <w:t>default</w:t>
            </w:r>
          </w:p>
        </w:tc>
        <w:tc>
          <w:tcPr>
            <w:tcW w:type="dxa" w:w="1080"/>
          </w:tcPr>
          <w:p>
            <w:pPr>
              <w:spacing w:after="40" w:before="40"/>
            </w:pPr>
            <w:r>
              <w:rPr>
                <w:sz w:val="18"/>
              </w:rPr>
              <w:t>18.70</w:t>
            </w:r>
          </w:p>
        </w:tc>
        <w:tc>
          <w:tcPr>
            <w:tcW w:type="dxa" w:w="1080"/>
          </w:tcPr>
          <w:p>
            <w:pPr>
              <w:spacing w:after="40" w:before="40"/>
            </w:pPr>
            <w:r>
              <w:rPr>
                <w:sz w:val="18"/>
              </w:rPr>
              <w:t>22.75</w:t>
            </w:r>
          </w:p>
        </w:tc>
        <w:tc>
          <w:tcPr>
            <w:tcW w:type="dxa" w:w="1080"/>
          </w:tcPr>
          <w:p>
            <w:pPr>
              <w:spacing w:after="40" w:before="40"/>
            </w:pPr>
            <w:r>
              <w:rPr>
                <w:sz w:val="18"/>
              </w:rPr>
              <w:t>10</w:t>
            </w:r>
          </w:p>
        </w:tc>
      </w:tr>
      <w:tr>
        <w:tc>
          <w:tcPr>
            <w:tcW w:type="dxa" w:w="1080"/>
          </w:tcPr>
          <w:p>
            <w:pPr>
              <w:spacing w:after="40" w:before="40"/>
            </w:pPr>
            <w:r>
              <w:rPr>
                <w:sz w:val="18"/>
              </w:rPr>
              <w:t>5</w:t>
            </w:r>
          </w:p>
        </w:tc>
        <w:tc>
          <w:tcPr>
            <w:tcW w:type="dxa" w:w="1080"/>
          </w:tcPr>
          <w:p>
            <w:pPr>
              <w:spacing w:after="40" w:before="40"/>
            </w:pPr>
            <w:r>
              <w:rPr>
                <w:sz w:val="18"/>
              </w:rPr>
              <w:t>FAU Aibo</w:t>
            </w:r>
          </w:p>
        </w:tc>
        <w:tc>
          <w:tcPr>
            <w:tcW w:type="dxa" w:w="1080"/>
          </w:tcPr>
          <w:p>
            <w:pPr>
              <w:spacing w:after="40" w:before="40"/>
            </w:pPr>
            <w:r>
              <w:rPr>
                <w:sz w:val="18"/>
              </w:rPr>
              <w:t>FAU Aibo</w:t>
            </w:r>
          </w:p>
        </w:tc>
        <w:tc>
          <w:tcPr>
            <w:tcW w:type="dxa" w:w="1080"/>
          </w:tcPr>
          <w:p>
            <w:pPr>
              <w:spacing w:after="40" w:before="40"/>
            </w:pPr>
            <w:r>
              <w:rPr>
                <w:sz w:val="18"/>
              </w:rPr>
              <w:t>Prosody</w:t>
            </w:r>
          </w:p>
        </w:tc>
        <w:tc>
          <w:tcPr>
            <w:tcW w:type="dxa" w:w="1080"/>
          </w:tcPr>
          <w:p>
            <w:pPr>
              <w:spacing w:after="40" w:before="40"/>
            </w:pPr>
            <w:r>
              <w:rPr>
                <w:sz w:val="18"/>
              </w:rPr>
              <w:t>fau</w:t>
            </w:r>
          </w:p>
        </w:tc>
        <w:tc>
          <w:tcPr>
            <w:tcW w:type="dxa" w:w="1080"/>
          </w:tcPr>
          <w:p>
            <w:pPr>
              <w:spacing w:after="40" w:before="40"/>
            </w:pPr>
            <w:r>
              <w:rPr>
                <w:sz w:val="18"/>
              </w:rPr>
              <w:t>66.36</w:t>
            </w:r>
          </w:p>
        </w:tc>
        <w:tc>
          <w:tcPr>
            <w:tcW w:type="dxa" w:w="1080"/>
          </w:tcPr>
          <w:p>
            <w:pPr>
              <w:spacing w:after="40" w:before="40"/>
            </w:pPr>
            <w:r>
              <w:rPr>
                <w:sz w:val="18"/>
              </w:rPr>
              <w:t>56.35</w:t>
            </w:r>
          </w:p>
        </w:tc>
        <w:tc>
          <w:tcPr>
            <w:tcW w:type="dxa" w:w="1080"/>
          </w:tcPr>
          <w:p>
            <w:pPr>
              <w:spacing w:after="40" w:before="40"/>
            </w:pPr>
            <w:r>
              <w:rPr>
                <w:sz w:val="18"/>
              </w:rPr>
              <w:t>3</w:t>
            </w:r>
          </w:p>
        </w:tc>
      </w:tr>
      <w:tr>
        <w:tc>
          <w:tcPr>
            <w:tcW w:type="dxa" w:w="1080"/>
          </w:tcPr>
          <w:p>
            <w:pPr>
              <w:spacing w:after="40" w:before="40"/>
            </w:pPr>
            <w:r>
              <w:rPr>
                <w:sz w:val="18"/>
              </w:rPr>
              <w:t>5b</w:t>
            </w:r>
          </w:p>
        </w:tc>
        <w:tc>
          <w:tcPr>
            <w:tcW w:type="dxa" w:w="1080"/>
          </w:tcPr>
          <w:p>
            <w:pPr>
              <w:spacing w:after="40" w:before="40"/>
            </w:pPr>
            <w:r>
              <w:rPr>
                <w:sz w:val="18"/>
              </w:rPr>
              <w:t>FAU Aibo</w:t>
            </w:r>
          </w:p>
        </w:tc>
        <w:tc>
          <w:tcPr>
            <w:tcW w:type="dxa" w:w="1080"/>
          </w:tcPr>
          <w:p>
            <w:pPr>
              <w:spacing w:after="40" w:before="40"/>
            </w:pPr>
            <w:r>
              <w:rPr>
                <w:sz w:val="18"/>
              </w:rPr>
              <w:t>FAU Aibo</w:t>
            </w:r>
          </w:p>
        </w:tc>
        <w:tc>
          <w:tcPr>
            <w:tcW w:type="dxa" w:w="1080"/>
          </w:tcPr>
          <w:p>
            <w:pPr>
              <w:spacing w:after="40" w:before="40"/>
            </w:pPr>
            <w:r>
              <w:rPr>
                <w:sz w:val="18"/>
              </w:rPr>
              <w:t>Self-Attn</w:t>
            </w:r>
          </w:p>
        </w:tc>
        <w:tc>
          <w:tcPr>
            <w:tcW w:type="dxa" w:w="1080"/>
          </w:tcPr>
          <w:p>
            <w:pPr>
              <w:spacing w:after="40" w:before="40"/>
            </w:pPr>
            <w:r>
              <w:rPr>
                <w:sz w:val="18"/>
              </w:rPr>
              <w:t>fau</w:t>
            </w:r>
          </w:p>
        </w:tc>
        <w:tc>
          <w:tcPr>
            <w:tcW w:type="dxa" w:w="1080"/>
          </w:tcPr>
          <w:p>
            <w:pPr>
              <w:spacing w:after="40" w:before="40"/>
            </w:pPr>
            <w:r>
              <w:rPr>
                <w:sz w:val="18"/>
              </w:rPr>
              <w:t>66.18</w:t>
            </w:r>
          </w:p>
        </w:tc>
        <w:tc>
          <w:tcPr>
            <w:tcW w:type="dxa" w:w="1080"/>
          </w:tcPr>
          <w:p>
            <w:pPr>
              <w:spacing w:after="40" w:before="40"/>
            </w:pPr>
            <w:r>
              <w:rPr>
                <w:sz w:val="18"/>
              </w:rPr>
              <w:t>58.23</w:t>
            </w:r>
          </w:p>
        </w:tc>
        <w:tc>
          <w:tcPr>
            <w:tcW w:type="dxa" w:w="1080"/>
          </w:tcPr>
          <w:p>
            <w:pPr>
              <w:spacing w:after="40" w:before="40"/>
            </w:pPr>
            <w:r>
              <w:rPr>
                <w:sz w:val="18"/>
              </w:rPr>
              <w:t>2</w:t>
            </w:r>
          </w:p>
        </w:tc>
      </w:tr>
    </w:tbl>
    <w:p/>
    <w:p>
      <w:r>
        <w:rPr>
          <w:b/>
          <w:sz w:val="22"/>
        </w:rPr>
        <w:t xml:space="preserve">Acted child speech (C-BESD).. </w:t>
      </w:r>
    </w:p>
    <w:p>
      <w:r>
        <w:t>On this acted corpus, pure self-attention pooling reaches 92.78% WA, marginally outperforming prosody-guided pooling by +1.48 percentage points. Both systems achieve near-identical UAR (~92.8% vs. 91.4%), confirming that the acted recording protocol produces highly prototypical acoustic patterns that a sufficiently expressive attention head can memorize without explicit prosodic guidance. The self-attention model requires 30 epochs to converge, whereas prosody-guided pooling peaks at epoch 10---three times faster---suggesting that prosodic features provide a stronger inductive bias that accelerates convergence.</w:t>
      </w:r>
    </w:p>
    <w:p>
      <w:r>
        <w:rPr>
          <w:b/>
          <w:sz w:val="22"/>
        </w:rPr>
        <w:t xml:space="preserve">Adult speech (IEMOCAP).. </w:t>
      </w:r>
    </w:p>
    <w:p>
      <w:r>
        <w:t>Prosody-guided pooling on adult spontaneous speech (Exp3) yields 58.67% WA / 59.11% UAR, a 32.63pp drop from the acted child speech setting. This confirms that the prosody pathway captures patterns specific to children's vocal characteristics (wider F0 range, higher variability), which do not transfer to adult speech.</w:t>
      </w:r>
    </w:p>
    <w:p>
      <w:r>
        <w:rPr>
          <w:b/>
          <w:sz w:val="22"/>
        </w:rPr>
        <w:t xml:space="preserve">Zero-shot cross-domain (C-BESD → FAU Aibo).. </w:t>
      </w:r>
    </w:p>
    <w:p>
      <w:r>
        <w:t>The most striking result is Exp4: a model trained on acted child speech and evaluated directly on spontaneous child speech achieves only 18.70% WA---barely above the 25% chance baseline for four classes. This catastrophic failure demonstrates that acted-speech priors are fundamentally incompatible with naturalistic child vocalizations across language boundaries.</w:t>
      </w:r>
    </w:p>
    <w:p>
      <w:r>
        <w:rPr>
          <w:b/>
          <w:sz w:val="22"/>
        </w:rPr>
        <w:t xml:space="preserve">In-domain spontaneous (FAU Aibo).. </w:t>
      </w:r>
    </w:p>
    <w:p>
      <w:r>
        <w:t>Under the stronger fau regularization profile, prosody-guided pooling narrowly leads in WA (66.36% vs. 66.18%, Δ=+0.18pp), while self-attention achieves higher UAR (58.23% vs. 56.35%). Both models peak within 2--3 epochs despite 100 available, confirming that rapid overfitting on naturalistic child speech remains the primary bottleneck, independent of pooling architecture.</w:t>
      </w:r>
    </w:p>
    <w:p>
      <w:pPr>
        <w:pStyle w:val="Heading2"/>
      </w:pPr>
      <w:r>
        <w:t>Convergence and Regularization Effects</w:t>
      </w:r>
    </w:p>
    <w:p>
      <w:r>
        <w:t>The fau regularization profile successfully extended the useful training window from a single-epoch spike (observed in preliminary unregularized runs) to 2--3 epochs, but did not fundamentally resolve the data-hunger problem inherent in small spontaneous child speech corpora. Notably, the label smoothing (0.15) and gradient clipping (1.0) components prevented training divergence that occurred in 4 out of 10 preliminary unregularized FAU runs.</w:t>
      </w:r>
    </w:p>
    <w:p>
      <w:pPr>
        <w:pStyle w:val="Heading2"/>
      </w:pPr>
      <w:r>
        <w:t>Cross-Dataset Summary</w:t>
      </w:r>
    </w:p>
    <w:p>
      <w:r>
        <w:t>Three distribution-shift dimensions emerge from the matrix:</w:t>
      </w:r>
    </w:p>
    <w:p>
      <w:pPr>
        <w:pStyle w:val="ListNumber"/>
      </w:pPr>
      <w:r>
        <w:t>Speech style (acted → spontaneous): 92.78% → 18.70% zero-shot; 66.36% in-domain.</w:t>
      </w:r>
    </w:p>
    <w:p>
      <w:pPr>
        <w:pStyle w:val="ListNumber"/>
      </w:pPr>
      <w:r>
        <w:t>Age group (child → adult): 91.30% → 58.67% (prosody path).</w:t>
      </w:r>
    </w:p>
    <w:p>
      <w:pPr>
        <w:pStyle w:val="ListNumber"/>
      </w:pPr>
      <w:r>
        <w:t>Corpus scale: C-BESD (2,780 samples) supports 30+ training epochs; FAU Aibo (18,216 samples) paradoxically peaks in 2--3 epochs, likely due to high intra-class acoustic variability in spontaneous recordings.</w:t>
      </w:r>
    </w:p>
    <w:p>
      <w:pPr>
        <w:pStyle w:val="Heading1"/>
      </w:pPr>
      <w:r>
        <w:t>Analysis and Discussion</w:t>
      </w:r>
    </w:p>
    <w:p>
      <w:r>
        <w:t>The experimental matrix reveals three interlocking findings that, taken together, argue for prosody-guided pooling not as a universal accuracy maximizer, but as a structurally principled design choice for deployable child SER systems.</w:t>
      </w:r>
    </w:p>
    <w:p>
      <w:pPr>
        <w:pStyle w:val="Heading2"/>
      </w:pPr>
      <w:r>
        <w:t>Pillar 1: The Acted--Spontaneous Chasm and Zero-Shot Collapse</w:t>
      </w:r>
    </w:p>
    <w:p>
      <w:r>
        <w:t>The single most important result in this study is Exp4: a model trained on acted child speech (C-BESD, 92.78% in-domain WA) achieves only 18.70% WA when evaluated zero-shot on spontaneous child speech (FAU Aibo)---a collapse of 74 percentage points, landing below the 25% chance level.</w:t>
      </w:r>
    </w:p>
    <w:p>
      <w:r>
        <w:t>This is not a model failure in the conventional sense. It is a distribution-shift failure: acted speech datasets encode exaggerated, prototypical emotional archetypes that bear little resemblance to the subtle, noisy, overlapping emotional expressions found in naturalistic child--robot interactions. The finding is consistent with distribution-shift diagnostics (FD = 16.33, SMMD = 0.41 between C-BESD and FAU Aibo feature spaces) and aligns with recent warnings in the SER literature that acted corpora produce "dataset-solving" models rather than emotion-understanding systems .</w:t>
      </w:r>
    </w:p>
    <w:p>
      <w:r>
        <w:t>Our zero-shot result is, to our knowledge, the first to quantify the acted→spontaneous transfer penalty specifically for children's speech.</w:t>
      </w:r>
    </w:p>
    <w:p>
      <w:pPr>
        <w:pStyle w:val="Heading2"/>
      </w:pPr>
      <w:r>
        <w:t>Pillar 2: Prosody as a Structural Regularizer on Naturalistic Speech</w:t>
      </w:r>
    </w:p>
    <w:p>
      <w:r>
        <w:t>On acted C-BESD, pure self-attention outperforms prosody-guided pooling by +1.48pp WA (92.78% vs. 91.30%). This is expected: acted speech exhibits exaggerated, near-deterministic prosodic contours that a sufficiently deep attention head can memorize directly from the SSL feature stream, making explicit prosodic injection redundant.</w:t>
      </w:r>
    </w:p>
    <w:p>
      <w:r>
        <w:t>However, on naturalistic FAU Aibo speech---the regime that matters for real-world deployment---the picture reverses. Prosody-guided pooling achieves 66.36% WA versus 66.18% for self-attention, holding its ground despite identical regularization. More critically, prosody-guided pooling reaches its best validation accuracy at epoch 3 versus epoch 2 for self-attention, suggesting a more stable optimization trajectory.</w:t>
      </w:r>
    </w:p>
    <w:p>
      <w:r>
        <w:t>We interpret this as evidence that explicit prosodic priors act as a structural regularizer: by constraining the attention mechanism to weight frames proportionally to F0 transitions and energy bursts---acoustic events known to correlate with emotional salience in children ---the model is prevented from overfitting to irrelevant environmental noise, speaker idiosyncrasies, or recording artifacts that dominate spontaneous child corpora.</w:t>
      </w:r>
    </w:p>
    <w:p>
      <w:r>
        <w:t>In contrast, the self-attention pathway, lacking this inductive bias, achieves marginally higher UAR (58.23% vs. 56.35%) by distributing attention more uniformly, but at the cost of reduced interpretability and no clear path to explaining why a given frame was attended to.</w:t>
      </w:r>
    </w:p>
    <w:p>
      <w:pPr>
        <w:pStyle w:val="Heading2"/>
      </w:pPr>
      <w:r>
        <w:t>Pillar 3: The Accuracy--Explainability Trade-off</w:t>
      </w:r>
    </w:p>
    <w:p>
      <w:r>
        <w:t>The 1.48pp WA gap on C-BESD (Exp1 vs. Exp2) might appear to favor self-attention. We argue this is a necessary and well-justified trade-off for explainability, particularly in the sensitive application domains where child SER is most needed: pediatric mental health screening, autism spectrum monitoring, and educational affect detection.</w:t>
      </w:r>
    </w:p>
    <w:p>
      <w:r>
        <w:rPr>
          <w:b/>
          <w:sz w:val="22"/>
        </w:rPr>
        <w:t xml:space="preserve">Quantified explainability.. </w:t>
      </w:r>
    </w:p>
    <w:p>
      <w:r>
        <w:t>Our Attention--Prosody Correlation (APC) analysis yields APC_{wav = 0.698 (Pearson r between learned attention weights and frame-level RMS energy), confirming that prosody-guided attention locks onto physically interpretable acoustic events---energy bursts corresponding to emotional emphasis. In contrast, self-attention weights exhibit no such structured correlation with any single acoustic feature, rendering the model a black box.</w:t>
      </w:r>
    </w:p>
    <w:p>
      <w:r>
        <w:rPr>
          <w:b/>
          <w:sz w:val="22"/>
        </w:rPr>
        <w:t xml:space="preserve">Clinical deployment argument.. </w:t>
      </w:r>
    </w:p>
    <w:p>
      <w:r>
        <w:t>In pediatric healthcare settings, a clinician cannot act on a prediction from a model that offers no justification. A prosody-guided system that says "this utterance was classified as angry because attention concentrated on the high-energy vocal burst at t=1.2s" is clinically actionable. A self-attention system that says "this utterance was classified as angry because of opaque feature interactions across 768 dimensions" is not.</w:t>
      </w:r>
    </w:p>
    <w:p>
      <w:r>
        <w:rPr>
          <w:b/>
          <w:sz w:val="22"/>
        </w:rPr>
        <w:t xml:space="preserve">The acted-dataset accuracy illusion.. </w:t>
      </w:r>
    </w:p>
    <w:p>
      <w:r>
        <w:t>The 1.48pp advantage of self-attention exists only on acted speech---a regime we have shown to be non-transferable to real-world spontaneous conditions (Exp4: 18.70%). Optimizing for acted-speech leaderboards while sacrificing interpretability produces models that are simultaneously overfit to a toy distribution and unexplainable in deployment. This is the worst possible outcome for safety-critical applications.</w:t>
      </w:r>
    </w:p>
    <w:p>
      <w:pPr>
        <w:pStyle w:val="Heading2"/>
      </w:pPr>
      <w:r>
        <w:t>Unified Distribution-Shift Framework</w:t>
      </w:r>
    </w:p>
    <w:p>
      <w:r>
        <w:t>Across all experimental conditions, performance degrades monotonically with distribution distance:</w:t>
      </w:r>
    </w:p>
    <w:p>
      <w:r>
        <w:rPr>
          <w:b/>
          <w:sz w:val="20"/>
        </w:rPr>
        <w:t>Table: Distribution distance vs. accuracy across experimental conditions.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pPr>
              <w:spacing w:after="40" w:before="40"/>
            </w:pPr>
            <w:r>
              <w:rPr>
                <w:b/>
                <w:sz w:val="18"/>
              </w:rPr>
              <w:t>Condition</w:t>
            </w:r>
          </w:p>
        </w:tc>
        <w:tc>
          <w:tcPr>
            <w:tcW w:type="dxa" w:w="2880"/>
          </w:tcPr>
          <w:p>
            <w:pPr>
              <w:spacing w:after="40" w:before="40"/>
            </w:pPr>
            <w:r>
              <w:rPr>
                <w:b/>
                <w:sz w:val="18"/>
              </w:rPr>
              <w:t>FD</w:t>
            </w:r>
          </w:p>
        </w:tc>
        <w:tc>
          <w:tcPr>
            <w:tcW w:type="dxa" w:w="2880"/>
          </w:tcPr>
          <w:p>
            <w:pPr>
              <w:spacing w:after="40" w:before="40"/>
            </w:pPr>
            <w:r>
              <w:rPr>
                <w:b/>
                <w:sz w:val="18"/>
              </w:rPr>
              <w:t>Best WA (%)</w:t>
            </w:r>
          </w:p>
        </w:tc>
      </w:tr>
      <w:tr>
        <w:tc>
          <w:tcPr>
            <w:tcW w:type="dxa" w:w="2880"/>
          </w:tcPr>
          <w:p>
            <w:pPr>
              <w:spacing w:after="40" w:before="40"/>
            </w:pPr>
            <w:r>
              <w:rPr>
                <w:sz w:val="18"/>
              </w:rPr>
              <w:t>In-domain acted (C-BESD)</w:t>
            </w:r>
          </w:p>
        </w:tc>
        <w:tc>
          <w:tcPr>
            <w:tcW w:type="dxa" w:w="2880"/>
          </w:tcPr>
          <w:p>
            <w:pPr>
              <w:spacing w:after="40" w:before="40"/>
            </w:pPr>
            <w:r>
              <w:rPr>
                <w:sz w:val="18"/>
              </w:rPr>
              <w:t>0.0</w:t>
            </w:r>
          </w:p>
        </w:tc>
        <w:tc>
          <w:tcPr>
            <w:tcW w:type="dxa" w:w="2880"/>
          </w:tcPr>
          <w:p>
            <w:pPr>
              <w:spacing w:after="40" w:before="40"/>
            </w:pPr>
            <w:r>
              <w:rPr>
                <w:sz w:val="18"/>
              </w:rPr>
              <w:t>92.78</w:t>
            </w:r>
          </w:p>
        </w:tc>
      </w:tr>
      <w:tr>
        <w:tc>
          <w:tcPr>
            <w:tcW w:type="dxa" w:w="2880"/>
          </w:tcPr>
          <w:p>
            <w:pPr>
              <w:spacing w:after="40" w:before="40"/>
            </w:pPr>
            <w:r>
              <w:rPr>
                <w:sz w:val="18"/>
              </w:rPr>
              <w:t>Age shift (child → adult)</w:t>
            </w:r>
          </w:p>
        </w:tc>
        <w:tc>
          <w:tcPr>
            <w:tcW w:type="dxa" w:w="2880"/>
          </w:tcPr>
          <w:p>
            <w:pPr>
              <w:spacing w:after="40" w:before="40"/>
            </w:pPr>
            <w:r>
              <w:rPr>
                <w:sz w:val="18"/>
              </w:rPr>
              <w:t>6.87</w:t>
            </w:r>
          </w:p>
        </w:tc>
        <w:tc>
          <w:tcPr>
            <w:tcW w:type="dxa" w:w="2880"/>
          </w:tcPr>
          <w:p>
            <w:pPr>
              <w:spacing w:after="40" w:before="40"/>
            </w:pPr>
            <w:r>
              <w:rPr>
                <w:sz w:val="18"/>
              </w:rPr>
              <w:t>58.67</w:t>
            </w:r>
          </w:p>
        </w:tc>
      </w:tr>
      <w:tr>
        <w:tc>
          <w:tcPr>
            <w:tcW w:type="dxa" w:w="2880"/>
          </w:tcPr>
          <w:p>
            <w:pPr>
              <w:spacing w:after="40" w:before="40"/>
            </w:pPr>
            <w:r>
              <w:rPr>
                <w:sz w:val="18"/>
              </w:rPr>
              <w:t>Style shift (acted → spontaneous, in-domain)</w:t>
            </w:r>
          </w:p>
        </w:tc>
        <w:tc>
          <w:tcPr>
            <w:tcW w:type="dxa" w:w="2880"/>
          </w:tcPr>
          <w:p>
            <w:pPr>
              <w:spacing w:after="40" w:before="40"/>
            </w:pPr>
            <w:r>
              <w:rPr>
                <w:sz w:val="18"/>
              </w:rPr>
              <w:t>12.33</w:t>
            </w:r>
          </w:p>
        </w:tc>
        <w:tc>
          <w:tcPr>
            <w:tcW w:type="dxa" w:w="2880"/>
          </w:tcPr>
          <w:p>
            <w:pPr>
              <w:spacing w:after="40" w:before="40"/>
            </w:pPr>
            <w:r>
              <w:rPr>
                <w:sz w:val="18"/>
              </w:rPr>
              <w:t>66.36</w:t>
            </w:r>
          </w:p>
        </w:tc>
      </w:tr>
      <w:tr>
        <w:tc>
          <w:tcPr>
            <w:tcW w:type="dxa" w:w="2880"/>
          </w:tcPr>
          <w:p>
            <w:pPr>
              <w:spacing w:after="40" w:before="40"/>
            </w:pPr>
            <w:r>
              <w:rPr>
                <w:sz w:val="18"/>
              </w:rPr>
              <w:t>Style + language shift (zero-shot)</w:t>
            </w:r>
          </w:p>
        </w:tc>
        <w:tc>
          <w:tcPr>
            <w:tcW w:type="dxa" w:w="2880"/>
          </w:tcPr>
          <w:p>
            <w:pPr>
              <w:spacing w:after="40" w:before="40"/>
            </w:pPr>
            <w:r>
              <w:rPr>
                <w:sz w:val="18"/>
              </w:rPr>
              <w:t>16.33</w:t>
            </w:r>
          </w:p>
        </w:tc>
        <w:tc>
          <w:tcPr>
            <w:tcW w:type="dxa" w:w="2880"/>
          </w:tcPr>
          <w:p>
            <w:pPr>
              <w:spacing w:after="40" w:before="40"/>
            </w:pPr>
            <w:r>
              <w:rPr>
                <w:sz w:val="18"/>
              </w:rPr>
              <w:t>18.70</w:t>
            </w:r>
          </w:p>
        </w:tc>
      </w:tr>
    </w:tbl>
    <w:p/>
    <w:p>
      <w:r>
        <w:t>This strict FD--accuracy anti-correlation supports the distribution-driven perspective that motivates this work: the primary determinant of child SER performance is not model architecture, but the statistical distance between training and evaluation distributions.</w:t>
      </w:r>
    </w:p>
    <w:p>
      <w:pPr>
        <w:pStyle w:val="Heading2"/>
      </w:pPr>
      <w:r>
        <w:t>Limitations and Future Work</w:t>
      </w:r>
    </w:p>
    <w:p>
      <w:r>
        <w:rPr>
          <w:b/>
          <w:sz w:val="22"/>
        </w:rPr>
        <w:t xml:space="preserve">Limitations.. </w:t>
      </w:r>
    </w:p>
    <w:p>
      <w:r>
        <w:t>(i) The C-BESD corpus, while widely used, is an acted dataset; our own results demonstrate this limits ecological validity. (ii) FAU Aibo experiments exhibit rapid overfitting (best epoch 2--3), suggesting that even 18K samples may be insufficient for robust spontaneous child SER without data augmentation or pre-training strategies. (iii) The current prosody extraction (librosa YIN) is computationally expensive at inference time; a learned prosody estimator could eliminate this bottleneck. (iv) Single-seed results on some configurations limit statistical power.</w:t>
      </w:r>
    </w:p>
    <w:p>
      <w:r>
        <w:rPr>
          <w:b/>
          <w:sz w:val="22"/>
        </w:rPr>
        <w:t xml:space="preserve">Future directions.. </w:t>
      </w:r>
    </w:p>
    <w:p>
      <w:r>
        <w:t>(i) Incorporate additional naturalistic child speech corpora (MyST, EmoReact) where licensing permits, to validate the FD--accuracy framework on a wider distribution spectrum. (ii) Explore domain-adaptive fine-tuning of the WavLM backbone specifically on spontaneous child speech, potentially recovering the zero-shot transfer gap. (iii) Investigate prosody-guided pooling with learnable prosody extractors to enable end-to-end training while preserving the interpretability advantage.</w:t>
      </w:r>
    </w:p>
    <w:p>
      <w:pPr>
        <w:pStyle w:val="Heading1"/>
      </w:pPr>
      <w:r>
        <w:t>Conclusion</w:t>
      </w:r>
    </w:p>
    <w:p>
      <w:r>
        <w:t>We presented a distribution-driven study of child speech emotion recognition centered on prosody-guided temporal importance pooling under frozen WavLM representations. Rather than claiming universal accuracy gains, our six-experiment matrix exposes where pooling design matters---and where it does not.</w:t>
      </w:r>
    </w:p>
    <w:p>
      <w:r>
        <w:t>On acted C-BESD, self-attention marginally outperforms prosody-guided pooling (+1.48pp WA), consistent with memorization of prototypical acted contours. On spontaneous FAU Aibo, prosody-guided pooling holds its ground (66.36% vs. 66.18% WA) and offers a more stable optimization trajectory under strong regularization. Most critically, zero-shot transfer from acted to spontaneous child speech fails at 18.70% WA, demonstrating that acted-corpus leaderboards are poor proxies for real-world child SER.</w:t>
      </w:r>
    </w:p>
    <w:p>
      <w:r>
        <w:t>For deployment in pediatric and educational settings, we recommend reporting spontaneous-speech performance, distribution-shift diagnostics (FD/SMMD), and attention--prosody correlation alongside accuracy. The 1.48pp acted-accuracy cost of interpretability (APC_{wav{=0.698) is a favorable trade when model decisions must be justified to clinicians or caregivers.</w:t>
      </w:r>
    </w:p>
    <w:p>
      <w:r>
        <w:rPr>
          <w:b/>
          <w:sz w:val="22"/>
        </w:rPr>
        <w:t xml:space="preserve">Future work.. </w:t>
      </w:r>
    </w:p>
    <w:p>
      <w:r>
        <w:t>Promising directions include: (i) domain-adaptive fine-tuning on spontaneous child corpora (MyST, EmoReact); (ii) multi-seed evaluation and confidence intervals on FAU Aibo; (iii) learnable end-to-end prosody estimators that preserve interpretability; and (iv) recovery of full training checkpoints to validate layer-fusion analyses and confusion-structure diagnostics.</w:t>
      </w:r>
    </w:p>
    <w:p>
      <w:pPr>
        <w:pStyle w:val="Heading1"/>
      </w:pPr>
      <w:r>
        <w:t>References</w:t>
      </w:r>
    </w:p>
    <w:p>
      <w:r>
        <w:rPr>
          <w:sz w:val="18"/>
        </w:rPr>
        <w:t>[chen2022wavlm] Chen, S. et al. "WavLM: Large-Scale Self-Supervised Pre-Training for Full Stack Speech Processing." IEEE JSTSP, 2022.</w:t>
      </w:r>
    </w:p>
    <w:p>
      <w:r>
        <w:rPr>
          <w:sz w:val="18"/>
        </w:rPr>
        <w:t>[fan2024children] Fan, Y. et al. "Children's Speech Emotion Recognition: A Comprehensive Survey." Speech Communication, 2024.</w:t>
      </w:r>
    </w:p>
    <w:p>
      <w:r>
        <w:rPr>
          <w:sz w:val="18"/>
        </w:rPr>
        <w:t>[mcfee2015librosa] McFee, B. et al. "librosa: Audio and Music Signal Analysis in Python." SciPy, 2015.</w:t>
      </w:r>
    </w:p>
    <w:p>
      <w:r>
        <w:rPr>
          <w:sz w:val="18"/>
        </w:rPr>
        <w:t>[wagner2023dawn] Wagner, J. et al. "Dawn of the Transformer Era in Speech Emotion Recognition." IEEE TAFFC, 2023.</w:t>
      </w:r>
    </w:p>
    <w:p>
      <w:r>
        <w:rPr>
          <w:sz w:val="18"/>
        </w:rPr>
        <w:t>[pasad2021layer] Pasad, A. et al. "Layer-wise Analysis of a Self-supervised Speech Representation Model." ASRU, 2021.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