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−2.12 个百分点），提示韵律引导的有效性与说话人年龄及情绪产生方式两个因素相关。逐类注意力分析显示注意力熵与分类准确率呈负相关趋势。所有实验均采用严格的说话人独立划分与多种子验证。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儿童语音的声学特性与成人存在根本性差异——基频更高、韵律变异性更大、情绪信息的时间分布模式不同。这些差异造成了分布偏移，使得在成人语音上预训练的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个百分点。B3（+Adapter+韵律池化）的均值最高（81.5%），但其相较 A3 的边际增益（约 0.6 个百分点）小于运行间方差（std=1.1），且引入额外约 30 万参数。因此本文以 A3 为推荐模型，兼顾性能、参数量和稳定性。</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观察：在情绪被指定表达的两个数据集（C-BESD、CREMA-D）上，韵律池化均表现为正向增益，且儿童获益远大于成人（+2.24 vs +0.75 percentage points）。而在情绪于对话中自然流露的 IEMOCAP 上，韵律池化有小幅的负向效果。这提示韵律引导注意力的有效性取决于语音中情绪韵律线索的显著性与规律性——指定表达时韵律模式更清晰可辨，自然对话中情绪韵律更细微分散。</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注意力越集中）与逐类准确率呈负相关趋势（6 类，Pearson r 待补充）。具有时间集中韵律线索的情绪（ANGER、FEAR）从韵律引导注意力中获益更多，而线索分散的情绪（HAPPY、NEUTRAL）获益较少。</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儿童的 F0 范围（75—2285 Hz）远宽于成人（80—220 Hz）。儿童韵律的高方差使帧级 F0/能量成为注意力加权的更有信息量的信号。此外，在指定情绪表达的数据集中（C-BESD 和 CREMA-D），韵律模式比自然对话（IEMOCAP）更规律、情绪的声学表现更一致。这可能解释了为什么韵律池化在 IEMOCAP 上效果为负——在自然对话中，情绪表达更多依赖语义内容和上下文，而非纯粹的声学韵律特征。</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A3。跨数据集对比表明韵律池化收益与说话人年龄和情绪产生方式两个因素相关——在儿童指定表达语音上增益最明显，在成人自然对话上效果为负。在观察到的年龄、增强、语言三类偏移中，FD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