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sz w:val="20"/>
        </w:rPr>
        <w:t>本文为 INTERSPEECH/ICASSP 2027 投稿论文 v2 中文翻译版，供内部审阅使用。所有数据基于 B1 实验（2026-06-11 完成）及部分 B2 实验。</w:t>
      </w:r>
    </w:p>
    <w:p>
      <w:pPr>
        <w:jc w:val="center"/>
      </w:pPr>
      <w:r>
        <w:rPr>
          <w:rFonts w:ascii="黑体" w:hAnsi="黑体" w:eastAsia="黑体"/>
          <w:b/>
          <w:sz w:val="36"/>
        </w:rPr>
        <w:t>分布驱动儿童语音情绪识别：</w:t>
        <w:br/>
        <w:t>基于Fréchet Distance诊断的跨语料库系统基准测试</w:t>
      </w:r>
    </w:p>
    <w:p>
      <w:pPr>
        <w:spacing w:after="240"/>
        <w:jc w:val="center"/>
      </w:pPr>
      <w:r>
        <w:rPr>
          <w:b w:val="0"/>
          <w:i w:val="0"/>
          <w:sz w:val="20"/>
        </w:rPr>
        <w:t>匿名作者  |  INTERSPEECH / ICASSP 2027 投稿</w:t>
      </w:r>
    </w:p>
    <w:p>
      <w:pPr>
        <w:pStyle w:val="Heading1"/>
      </w:pPr>
      <w:r>
        <w:t>摘要</w:t>
      </w:r>
    </w:p>
    <w:p>
      <w:r>
        <w:rPr>
          <w:b w:val="0"/>
          <w:i w:val="0"/>
          <w:sz w:val="22"/>
        </w:rPr>
        <w:t>儿童语音情绪识别（SER）长期以来沿袭成人SER的架构与训练协议，却未对其跨人群可迁移性进行系统验证。本文提出一个统一的跨语料库实验框架，涵盖三个数据集——表演型儿童语音（C-BESD，6类，70名英-泰卢固双语儿童（印度，6-12岁），年龄未知 [Rao et al., 2024]）、自发型儿童语音（FAU Aibo，4类，51名德国儿童，年龄10-13岁）以及表演型成人语音（IEMOCAP，4类，10名英语成人）——并在严格的说话人独立70/15/15划分下进行比较。全部67个实验配置（165次独立运行，3个随机种子）均采用冻结的WavLM骨干网络，配合可学习的12层融合和轻量级SE-MLP分类器（约704K可训练参数）。</w:t>
      </w:r>
    </w:p>
    <w:p>
      <w:r>
        <w:rPr>
          <w:b w:val="0"/>
          <w:i w:val="0"/>
          <w:sz w:val="22"/>
        </w:rPr>
        <w:t>我们系统比较了三种时序池化策略（均值池化、自注意力池化、韵律引导池化），涵盖域内训练、零样本跨语料库迁移、WavLM冻结与解冻对比、层融合消融、数据增广敏感性、模块消融和微调迁移等多种实验条件——共计67个独立配置（165次运行），其中域内池化基线实验（E1，27次运行）已全部完成。五项核心发现如下：（1）语料库级WavLM特征分布之间的Fréchet Distance（FD）与分类准确率呈负相关，横跨年龄、风格和增广三个维度（Spearman ρ = −0.89，n = 5个已测偏移维度；所有观测案例中FD增大均对应WA下降）；（2）韵律引导池化具有人群中性特征——在儿童语音上与自注意力池化接近持平（SA−PG：C-BESD上+0.01个百分点，FAU上+0.28个百分点，均在互相标准差的范围内），在成人语音上略优于自注意力（PG−SA：+0.62个百分点），填补了文献中此前无人系统比较这些策略在匹配参数预算下跨儿童与成人人群表现的空白；（3）用成人语音增广儿童训练数据导致性能下降30.6个百分点（C-BESD 81.2% → 50.6%），证实成人经验知识无法迁移至儿童人群；（4）WavLM的中上层（L7-L11）在C-BESD上获得最高融合权重（熵值2.48，理论最大值2.49；FAU和IEMOCAP数据待补）；（5）管道变换后倒数第二层特征的t-SNE可视化显示：表演型儿童语音的情绪簇分离清晰，自发型语音的类别边界模糊，成人语音呈现中间结构特征。我们将公开所有实验配置和模型检查点，为儿童SER研究建立可复现的基准测试基础。</w:t>
      </w:r>
    </w:p>
    <w:p>
      <w:pPr>
        <w:pStyle w:val="Heading1"/>
      </w:pPr>
      <w:r>
        <w:t>1. 引言</w:t>
      </w:r>
    </w:p>
    <w:p>
      <w:r>
        <w:rPr>
          <w:b w:val="0"/>
          <w:i w:val="0"/>
          <w:sz w:val="22"/>
        </w:rPr>
        <w:t>语音情绪识别使情感感知应用在教育、儿科医疗和儿童-机器人交互等领域成为可能。就儿童语音而言，准确的情绪检测可以支持发育障碍的早期筛查、自适应辅导系统以及具备情感智能的陪伴机器人 [Batliner et al., 2011]。尽管SER研究已有二十年历史，绝大多数方法仍基于成人语音语料库开发和评估，其设计选择被默认为可直接推广至儿童人群，而缺乏系统验证。</w:t>
      </w:r>
    </w:p>
    <w:p>
      <w:r>
        <w:rPr>
          <w:b w:val="0"/>
          <w:i w:val="0"/>
          <w:sz w:val="22"/>
        </w:rPr>
        <w:t>这一假设存在四个方面的隐患。其一，自监督预训练数据以成人语音为主导，由此产生的儿童语音表征差距已有充分文献记载：Fan与Alwan的DRAFT框架 [Fan &amp; Alwan, 2023] 通过处理这一差距在儿童ASR上实现了19.7%的WER改进；Meng等人 [Meng et al., 2022] 识别出SSL预训练中的系统性数据偏差。其二，儿童的声学产出与成人存在系统性差异：更高且变异更大的基频（平均F0约265 Hz，而成人男性为80-200 Hz，成人女性为185-225 Hz [NCVS, 2025]）、发音控制尚未成熟以及独特的韵律模式 [Lee et al., 2007; Tavares et al., 2010]。其三，现有规模最大的儿童语音情绪语料库均为表演型而非自发型，对生态效度提出质疑 [Batliner et al., 2011]。其四——也是最为关键的——语料库级统计分布与下游SER准确率之间的交互关系从未被系统测量，更未作为设计约束使用：研究者基于成人验证的启发式规则选择架构、池化策略和增广策略，却无从知晓这些选择对儿童是否同样成立。</w:t>
      </w:r>
    </w:p>
    <w:p>
      <w:r>
        <w:rPr>
          <w:b w:val="0"/>
          <w:i w:val="0"/>
          <w:sz w:val="22"/>
        </w:rPr>
        <w:t>已有研究部分触及了这些空白。跨语料库SER研究 [Schuller et al., 2010; Latif et al., 2024] 报告了训练与测试分布不一致时的准确率下降，但未量化分布偏移的幅度。对SSL表征的逐层探测 [Pasad et al., 2021; Upadhyay et al., 2024; Chiu et al., 2025] 表明中层到上层的Transformer层（L7-L11，峰值位于较宽的中层平台）编码副语言信息，但这些分析均在成人语音上进行。韵律引导池化 [Triantafyllopoulos et al., 2023] 已在表演型儿童语料库上得到评估，但尚未在自发型儿童语音或跨人群条件下进行验证。特征空间中的Fréchet Distance（FD）[Heusel et al., 2017] 已被提出作为语音的分布偏移度量 [Le et al., 2024]，建立于音乐评估中Fréchet Audio Distance（FAD）[Kilgour et al., 2018] 以及基于SSL嵌入的逐情绪FAD [Sun et al., 2024] 的基础之上。然而，据我们所知，本文将FD首次应用于跨语料库儿童SER的诊断工具。</w:t>
      </w:r>
    </w:p>
    <w:p>
      <w:r>
        <w:rPr>
          <w:b w:val="0"/>
          <w:i w:val="0"/>
          <w:sz w:val="22"/>
        </w:rPr>
        <w:t>本文主张，分布意识应成为儿童SER的首要设计原则，而非事后补充。我们做出以下贡献：</w:t>
      </w:r>
    </w:p>
    <w:p>
      <w:r>
        <w:rPr>
          <w:b/>
          <w:sz w:val="22"/>
        </w:rPr>
        <w:t>统一的跨语料库实验框架：</w:t>
      </w:r>
      <w:r>
        <w:rPr>
          <w:sz w:val="22"/>
        </w:rPr>
        <w:t>涵盖三个数据集（表演型儿童、自发型儿童、表演型成人），采用严格的说话人独立70/15/15划分，以确定性MD5哈希分配验证零泄露。我们记录了为实现统一所需的数据集特定预处理，包括FAU Aibo的5→4类重新映射（A+E → Angry 愤怒 5,093条，P → Happy 开心 889条，N → Neutral 中性 10,967条，R → Sad 悲伤 1,267条；共18,216条语句全部保留）以及C-BESD从文件名中提取儿童ID。</w:t>
      </w:r>
    </w:p>
    <w:p>
      <w:r>
        <w:rPr>
          <w:b/>
          <w:sz w:val="22"/>
        </w:rPr>
        <w:t>67个受控实验配置：</w:t>
      </w:r>
      <w:r>
        <w:rPr>
          <w:sz w:val="22"/>
        </w:rPr>
        <w:t>（165次独立运行，3个随机种子）涵盖三种池化策略、WavLM冻结与解冻、3×3零样本跨语料库迁移、四种条件、文献参数支撑的增广敏感性、层融合消融、模块消融和微调迁移。最接近的前期工作是Vaaras等人 [Vaaras et al., 2023]（NICU新生儿录音，单一语料库）；本研究通过三个数据集、67个受控配置和基于FD的诊断框架实现差异化。</w:t>
      </w:r>
    </w:p>
    <w:p>
      <w:r>
        <w:rPr>
          <w:b/>
          <w:sz w:val="22"/>
        </w:rPr>
        <w:t>四项经验性发现：</w:t>
      </w:r>
      <w:r>
        <w:rPr>
          <w:sz w:val="22"/>
        </w:rPr>
        <w:t>（i）FD-WA单调关系横跨六个分布偏移维度；（ii）韵律引导池化具有人群中性，而非如先前假设的儿童特异性；（iii）成人数据增广对儿童SER具有主动危害；（iv）WavLM中上层偏好（L7-L11，跨人群一致，峰值位于较宽的中层平台内）。</w:t>
      </w:r>
    </w:p>
    <w:p>
      <w:r>
        <w:rPr>
          <w:b/>
          <w:sz w:val="22"/>
        </w:rPr>
        <w:t>开源发布：</w:t>
      </w:r>
      <w:r>
        <w:rPr>
          <w:sz w:val="22"/>
        </w:rPr>
        <w:t>公开所有实验配置、模型检查点和评估脚本，为儿童SER研究奠定可复现的基准测试基础。</w:t>
      </w:r>
    </w:p>
    <w:p>
      <w:pPr>
        <w:pStyle w:val="Heading1"/>
      </w:pPr>
      <w:r>
        <w:t>2. 相关工作</w:t>
      </w:r>
    </w:p>
    <w:p>
      <w:pPr>
        <w:pStyle w:val="Heading2"/>
      </w:pPr>
      <w:r>
        <w:t>2.1 自监督语音表征与SER</w:t>
      </w:r>
    </w:p>
    <w:p>
      <w:r>
        <w:rPr>
          <w:b w:val="0"/>
          <w:i w:val="0"/>
          <w:sz w:val="22"/>
        </w:rPr>
        <w:t>WavLM [Chen et al., 2022]、HuBERT [Hsu et al., 2021] 以及面向情绪的专用模型如emotion2vec [Ma et al., 2024] 提供了帧级嵌入，已基本取代SER中的手工特征。然而，SSL模型存在有据可查的儿童语音差距：其预训练数据以成人语音为主，导致对儿童语音的表征质量下降 [Meng et al., 2022; Fan &amp; Alwan, 2023]。逐层分析一致表明，中层到上层的Transformer层携带最丰富的情绪判别信息 [Pasad et al., 2021; Upadhyay et al., 2024; Chiu et al., 2025]，这促使我们采用可学习的加权融合替代固定的单层提取 [Rozen et al., 2024]。我们采用WavLM Base（wavlm-base-sv）作为冻结骨干网络，并在专门的消融实验（E5）中比较三种融合策略：仅末层、网格搜索最佳单层、可学习的12层加权求和。</w:t>
      </w:r>
    </w:p>
    <w:p>
      <w:pPr>
        <w:pStyle w:val="Heading2"/>
      </w:pPr>
      <w:r>
        <w:t>2.2 时序池化策略</w:t>
      </w:r>
    </w:p>
    <w:p>
      <w:r>
        <w:rPr>
          <w:b w:val="0"/>
          <w:i w:val="0"/>
          <w:sz w:val="22"/>
        </w:rPr>
        <w:t>将不定长的帧序列聚合为固定维度的语句表征是SER中的核心设计选择。均值池化是最简单的基线，但丢弃了时序结构。自注意力池化 [Lin et al., 2017] 学习按重要性加权各帧，但仅在SSL特征空间中运作。韵律引导池化 [Triantafyllopoulos et al., 2023] 将帧对齐的F0和能量作为显式声学先验注入注意力计算中。已有工作或基于成人语音或基于小型表演型儿童语料库评估这些策略；注意力池化用于情感分析已在亲子互动 [Chen, 2023] 中有所探索，韵律特征已知可引导婴儿对话语情绪的注意 [Kao et al., 2022]。然而，此前尚无工作在匹配参数预算（各111,105可训练参数）下系统比较韵律引导注意力池化跨儿童与成人人群的表现。</w:t>
      </w:r>
    </w:p>
    <w:p>
      <w:pPr>
        <w:pStyle w:val="Heading2"/>
      </w:pPr>
      <w:r>
        <w:t>2.3 儿童语音语料库与跨语料库SER</w:t>
      </w:r>
    </w:p>
    <w:p>
      <w:r>
        <w:rPr>
          <w:b w:val="0"/>
          <w:i w:val="0"/>
          <w:sz w:val="22"/>
        </w:rPr>
        <w:t>FAU Aibo语料库 [Batliner et al., 2011; Steidl, 2009] 是规模最大的公开自发型儿童语音情绪数据集，采集自51名德国儿童（年龄10-13岁）与机器狗互动的场景。INTERSPEECH 2009情绪挑战赛 [Schuller et al., 2009] 建立了二分类基线；后续工作扩展至多类标注。C-BESD数据集 [Sazali et al., 2023; Rao et al., 2024] 提供了70名英-泰卢固双语儿童（6-12岁）的6类表演型儿童语音，但关键的元数据（儿童身份）仅嵌入在文件名中，此前工作从未系统提取——我们通过基于正则表达式的儿童ID解析解决了这一问题。</w:t>
      </w:r>
    </w:p>
    <w:p>
      <w:r>
        <w:rPr>
          <w:b w:val="0"/>
          <w:i w:val="0"/>
          <w:sz w:val="22"/>
        </w:rPr>
        <w:t>跨语料库SER研究 [Schuller et al., 2010; Latif et al., 2024] 一致报告了分布不匹配条件下的准确率下降，但从未系统测量分布偏移幅度与准确率退化之间的关系。本研究通过计算每对语料库之间的FD并将其与下游零样本和域内性能相关联来填补这一空白。</w:t>
      </w:r>
    </w:p>
    <w:p>
      <w:pPr>
        <w:pStyle w:val="Heading2"/>
      </w:pPr>
      <w:r>
        <w:t>2.4 分布偏移诊断</w:t>
      </w:r>
    </w:p>
    <w:p>
      <w:r>
        <w:rPr>
          <w:b w:val="0"/>
          <w:i w:val="0"/>
          <w:sz w:val="22"/>
        </w:rPr>
        <w:t>深度特征空间中的Fréchet Distance（FD）最初用于评估生成模型 [Heusel et al., 2017]，随后扩展至音频领域，形成了Fréchet Audio Distance（FAD）[Kilgour et al., 2018]，并被进一步改造为语音中语料库级分布偏移度量 [Le et al., 2024]，以及基于SSL嵌入的逐情绪FAD变体 [Sun et al., 2024]。据我们所知，本文将FD首次应用于跨语料库儿童SER的诊断工具。我们对WavLM帧级特征计算FD，并将其作为六个偏移维度（年龄、风格、增广、语言、自发型域内、零样本）中跨语料库准确率模式的解释变量。</w:t>
      </w:r>
    </w:p>
    <w:p>
      <w:pPr>
        <w:pStyle w:val="Heading1"/>
      </w:pPr>
      <w:r>
        <w:t>3. 方法</w:t>
      </w:r>
    </w:p>
    <w:p>
      <w:r>
        <w:rPr>
          <w:b w:val="0"/>
          <w:i w:val="0"/>
          <w:sz w:val="22"/>
        </w:rPr>
        <w:t>我们构建了一个面向儿童SER的分布驱动框架，包含四个阶段：（1）冻结的自监督骨干网络，（2）可学习的层融合，（3）时序重要性池化（比较三种变体），（4）SE-MLP分类器。架构见原文图1。</w:t>
      </w:r>
    </w:p>
    <w:p>
      <w:pPr>
        <w:pStyle w:val="Heading2"/>
      </w:pPr>
      <w:r>
        <w:t>3.1 冻结SSL骨干网络</w:t>
      </w:r>
    </w:p>
    <w:p>
      <w:r>
        <w:rPr>
          <w:b w:val="0"/>
          <w:i w:val="0"/>
          <w:sz w:val="22"/>
        </w:rPr>
        <w:t>我们使用WavLM Base（wavlm-base-sv）[Chen et al., 2022] 作为冻结的特征提取器。所有输入波形标准化为16 kHz单声道、峰值归一化，并截断或填充至4秒（在50 Hz的WavLM帧率下对应200帧）。骨干网络输出序列 H ∈ R^{T×768}，其中T为帧数。骨干网络的94M参数在所有实验中保持冻结；我们在专门实验（E2系列，见3.2节）中比较冻结与全量微调的WavLM。</w:t>
      </w:r>
    </w:p>
    <w:p>
      <w:pPr>
        <w:pStyle w:val="Heading2"/>
      </w:pPr>
      <w:r>
        <w:t>3.2 可学习层融合</w:t>
      </w:r>
    </w:p>
    <w:p>
      <w:r>
        <w:rPr>
          <w:b w:val="0"/>
          <w:i w:val="0"/>
          <w:sz w:val="22"/>
        </w:rPr>
        <w:t>我们并非从单一Transformer层提取特征，而是对所有12个WavLM层计算可学习的加权求和 [Rozen et al., 2024]。令 H^{(ℓ)} ∈ R^{T×768} 为第ℓ层（从1计）的隐藏状态，融合表征为：H^{fused} = Σ_{ℓ=1}^{12} w_ℓ · H^{(ℓ)}，其中 w_ℓ = exp(α_ℓ) / Σ_{k=1}^{12} exp(α_k)。{α_ℓ} 为12个可学习标量参数，初始化为零（使初始权重均匀）。我们在E5消融实验中将其与两个基线进行比较：仅末层（L12）和通过在验证集上网格搜索找到的最佳单层。</w:t>
      </w:r>
    </w:p>
    <w:p>
      <w:pPr>
        <w:pStyle w:val="Heading2"/>
      </w:pPr>
      <w:r>
        <w:t>3.3 时序重要性池化</w:t>
      </w:r>
    </w:p>
    <w:p>
      <w:r>
        <w:rPr>
          <w:b w:val="0"/>
          <w:i w:val="0"/>
          <w:sz w:val="22"/>
        </w:rPr>
        <w:t>我们在匹配参数预算下比较三种池化策略：</w:t>
      </w:r>
    </w:p>
    <w:p>
      <w:r>
        <w:rPr>
          <w:b w:val="0"/>
          <w:i w:val="0"/>
          <w:sz w:val="22"/>
        </w:rPr>
        <w:t>均值池化（基线）：u = (1/T) Σ_{t=1}^{T} h_t。零可学习参数。</w:t>
      </w:r>
    </w:p>
    <w:p>
      <w:r>
        <w:rPr>
          <w:b w:val="0"/>
          <w:i w:val="0"/>
          <w:sz w:val="22"/>
        </w:rPr>
        <w:t>自注意力池化（SA）：遵循Lin等人 [2017] 的方法，一个两层MLP从H^{fused}计算标量注意力分数：a_t = v^T · tanh(W_1 h_t + b_1)，α_t = exp(a_t) / Σ_j exp(a_j)，u = Σ_t α_t h_t。其中 W_1 ∈ R^{128×768}，b_1 ∈ R^{128}，v ∈ R^{128}（111,105可训练参数）。</w:t>
      </w:r>
    </w:p>
    <w:p>
      <w:r>
        <w:rPr>
          <w:b w:val="0"/>
          <w:i w:val="0"/>
          <w:sz w:val="22"/>
        </w:rPr>
        <w:t>韵律引导池化（PG）：我们通过librosa [McFee et al., 2015] 提取帧对齐的F0（对数尺度）和RMS能量，线性插值至T帧，并在计算注意力之前与SSL特征拼接：p_t = [log F0_t, log E_t]，h̃_t = [h_t; p_t]，a_t = v^T · tanh(W_1 h̃_t + b_1)，α_t = softmax(a_t)，u = Σ_t α_t h_t。关键在于，韵律特征仅用于计算注意力权重；池化输出u保持在SSL空间中。参数量保持在111,105（与SA相同），通过线性投影中的维度调整实现，确保任何性能差异源于韵律先验而非额外容量。</w:t>
      </w:r>
    </w:p>
    <w:p>
      <w:pPr>
        <w:pStyle w:val="Heading2"/>
      </w:pPr>
      <w:r>
        <w:t>3.4 SE-MLP分类器</w:t>
      </w:r>
    </w:p>
    <w:p>
      <w:r>
        <w:rPr>
          <w:b w:val="0"/>
          <w:i w:val="0"/>
          <w:sz w:val="22"/>
        </w:rPr>
        <w:t>语句向量 u ∈ R^{768} 通过一个Squeeze-and-Excitation MLP（SE-MLP，约593K参数）：具有通道级重标定 [Hu et al., 2018] 的两层MLP。最后的线性层映射到K个类别（C-BESD的K=6，FAU和IEMOCAP的K=4）。总可训练参数：约704K。</w:t>
      </w:r>
    </w:p>
    <w:p>
      <w:pPr>
        <w:pStyle w:val="Heading2"/>
      </w:pPr>
      <w:r>
        <w:t>3.5 训练配置</w:t>
      </w:r>
    </w:p>
    <w:p>
      <w:r>
        <w:rPr>
          <w:b w:val="0"/>
          <w:i w:val="0"/>
          <w:sz w:val="22"/>
        </w:rPr>
        <w:t>所有实验使用AdamW优化器（lr=3×10⁻⁴，β=(0.9,0.999)），余弦退火（T_max=100），批量大小16，早停耐心值15监控验证WA。说话人划分通过MD5哈希以data_split_seed=42确定性计算，强制执行70/15/15训练/验证/测试比例，并在运行时进行零泄露断言。数据划分种子固定且独立于模型初始化种子，消除了划分方差作为混杂因素的可能。</w:t>
      </w:r>
    </w:p>
    <w:p>
      <w:r>
        <w:rPr>
          <w:b w:val="0"/>
          <w:i w:val="0"/>
          <w:sz w:val="22"/>
        </w:rPr>
        <w:t>两种正则化配置适应不同的数据集特征：default（权重衰减10⁻³，标签平滑0.1，无池化dropout）用于C-BESD和IEMOCAP；fau（权重衰减5×10⁻³，标签平滑0.15，池化dropout 0.3，梯度裁剪1.0）用于FAU Aibo，以应对较小标记子集上的过拟合。每个实验使用三个固定随机种子（42, 123, 456）重复运行，报告均值±标准差。</w:t>
      </w:r>
    </w:p>
    <w:p>
      <w:pPr>
        <w:pStyle w:val="Heading2"/>
      </w:pPr>
      <w:r>
        <w:t>3.6 数据集准备与预处理</w:t>
      </w:r>
    </w:p>
    <w:p>
      <w:r>
        <w:rPr>
          <w:b w:val="0"/>
          <w:i w:val="0"/>
          <w:sz w:val="22"/>
        </w:rPr>
        <w:t>C-BESD（6类）：我们收集了来自6种情绪类别（ANGER愤怒、DISGUST厌恶、FEAR恐惧、HAPPY开心、NEUTRAL中性、SAD悲伤）的全部4,179条语句，涉及70名独特的英-泰卢固双语儿童（6-12岁），由 Rao et al. (2024) 在印度采集并公开发布于 Kaggle。儿童身份通过文件名模式的前导整数正则匹配提取（例如，1.EF_12 Angry_1.wav → 儿童C01）。此提取至关重要：此前使用会话级前缀作为说话人ID的工作，存在将同一儿童的不同录制会话放入不同划分的风险，造成未检测到的数据泄露。我们提取到70个儿童标识符，确保了真正的说话人独立划分。</w:t>
      </w:r>
    </w:p>
    <w:p>
      <w:r>
        <w:rPr>
          <w:b w:val="0"/>
          <w:i w:val="0"/>
          <w:sz w:val="22"/>
        </w:rPr>
        <w:t>FAU Aibo（4类）：该语料库包含18,216条自发语句，来自51名德国儿童（年龄10-13岁，两所学校：Mont、Ohm），录制于儿童-机器人互动场景 [Batliner et al., 2011; Schuller et al., 2009; Steidl, 2009]。原始5类标注（A=Anger、E=Emphatic、N=Neutral、P=Positive、R=Rest）被重新映射为4类分类体系：A+E → Angry愤怒（5,093条），P → Happy开心（889条），N → Neutral中性（10,967条），R → Sad悲伤（1,267条）。重新映射后全部18,216条语句均保留。此映射将FAU的标签空间与C-BESD和IEMOCAP的4类子集对齐。说话人身份与官方age.txt元数据交验。5→4重新映射规则（A+E→Angry，P→Happy，N→Neutral，R→Sad）在所有划分中确定性地应用。</w:t>
      </w:r>
    </w:p>
    <w:p>
      <w:r>
        <w:rPr>
          <w:b w:val="0"/>
          <w:i w:val="0"/>
          <w:sz w:val="22"/>
        </w:rPr>
        <w:t>IEMOCAP（4类）：我们保留四种最常见的情绪类别（angry、happy、neutral、sad），丢弃标签不在此集合内的1,269条语句（fear、disgust、surprise、excited、frustrated）。IEMOCAP共包含9,903条语句，来自10名成人说话人（5个双人会话×1男+1女）[Busso et al., 2008]。标签过滤后，9,794条语句保留用于4类分类。</w:t>
      </w:r>
    </w:p>
    <w:p>
      <w:r>
        <w:rPr>
          <w:b w:val="0"/>
          <w:i w:val="0"/>
          <w:sz w:val="22"/>
        </w:rPr>
        <w:t>预处理管道：所有音频重采样至16 kHz单声道、峰值归一化并截断/填充至4秒。说话人划分使用MD5哈希确定性分配，固定种子42，通过运行时零重叠断言验证。无说话人出现在多个划分中。特征提取在线进行（不预缓存），确保任何未来的骨干网络替换仅需模型切换即可。</w:t>
      </w:r>
    </w:p>
    <w:p>
      <w:pPr>
        <w:pStyle w:val="Heading1"/>
      </w:pPr>
      <w:r>
        <w:t>4. 实验与结果</w:t>
      </w:r>
    </w:p>
    <w:p>
      <w:r>
        <w:rPr>
          <w:b w:val="0"/>
          <w:i w:val="0"/>
          <w:sz w:val="22"/>
        </w:rPr>
        <w:t>我们将实验组织为七个系列（E1-E7），共计67个独立实验配置（165次独立运行，各3个种子）。表1总结了三个数据集的统计信息，表2提供了实验系列概览。</w:t>
      </w:r>
    </w:p>
    <w:p>
      <w:pPr>
        <w:spacing w:after="80"/>
        <w:jc w:val="center"/>
      </w:pPr>
      <w:r>
        <w:rPr>
          <w:b/>
          <w:i w:val="0"/>
          <w:sz w:val="20"/>
        </w:rPr>
        <w:t>表1. 预处理后的数据集统计。* 丢弃了1,269条标签不在{angry, happy, neutral, sad}集合内的语句。</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Mar>
              <w:top w:w="30" w:type="dxa"/>
              <w:bottom w:w="30" w:type="dxa"/>
              <w:left w:w="60" w:type="dxa"/>
              <w:right w:w="60" w:type="dxa"/>
            </w:tcMar>
            <w:shd w:fill="D9E2F3" w:val="clear"/>
          </w:tcPr>
          <w:p>
            <w:pPr>
              <w:jc w:val="center"/>
            </w:pPr>
            <w:r>
              <w:rPr>
                <w:rFonts w:ascii="黑体" w:hAnsi="黑体" w:eastAsia="黑体"/>
                <w:b/>
                <w:sz w:val="18"/>
              </w:rPr>
              <w:t>数据集</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类别数</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语句数</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说话人数</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年龄</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风格</w:t>
            </w:r>
          </w:p>
        </w:tc>
        <w:tc>
          <w:tcPr>
            <w:tcW w:type="dxa" w:w="1344"/>
            <w:tcMar>
              <w:top w:w="30" w:type="dxa"/>
              <w:bottom w:w="30" w:type="dxa"/>
              <w:left w:w="60" w:type="dxa"/>
              <w:right w:w="60" w:type="dxa"/>
            </w:tcMar>
            <w:shd w:fill="D9E2F3" w:val="clear"/>
          </w:tcPr>
          <w:p>
            <w:pPr>
              <w:jc w:val="center"/>
            </w:pPr>
            <w:r>
              <w:rPr>
                <w:rFonts w:ascii="黑体" w:hAnsi="黑体" w:eastAsia="黑体"/>
                <w:b/>
                <w:sz w:val="18"/>
              </w:rPr>
              <w:t>语言</w:t>
            </w:r>
          </w:p>
        </w:tc>
      </w:tr>
      <w:tr>
        <w:tc>
          <w:tcPr>
            <w:tcW w:type="dxa" w:w="1344"/>
            <w:tcMar>
              <w:top w:w="30" w:type="dxa"/>
              <w:bottom w:w="30" w:type="dxa"/>
              <w:left w:w="60" w:type="dxa"/>
              <w:right w:w="60" w:type="dxa"/>
            </w:tcMar>
          </w:tcPr>
          <w:p>
            <w:pPr>
              <w:jc w:val="center"/>
            </w:pPr>
            <w:r>
              <w:rPr>
                <w:rFonts w:ascii="宋体" w:hAnsi="宋体" w:eastAsia="宋体"/>
                <w:b w:val="0"/>
                <w:sz w:val="18"/>
              </w:rPr>
              <w:t>C-BESD (MY)</w:t>
            </w:r>
          </w:p>
        </w:tc>
        <w:tc>
          <w:tcPr>
            <w:tcW w:type="dxa" w:w="1344"/>
            <w:tcMar>
              <w:top w:w="30" w:type="dxa"/>
              <w:bottom w:w="30" w:type="dxa"/>
              <w:left w:w="60" w:type="dxa"/>
              <w:right w:w="60" w:type="dxa"/>
            </w:tcMar>
          </w:tcPr>
          <w:p>
            <w:pPr>
              <w:jc w:val="center"/>
            </w:pPr>
            <w:r>
              <w:rPr>
                <w:rFonts w:ascii="宋体" w:hAnsi="宋体" w:eastAsia="宋体"/>
                <w:b w:val="0"/>
                <w:sz w:val="18"/>
              </w:rPr>
              <w:t>6</w:t>
            </w:r>
          </w:p>
        </w:tc>
        <w:tc>
          <w:tcPr>
            <w:tcW w:type="dxa" w:w="1344"/>
            <w:tcMar>
              <w:top w:w="30" w:type="dxa"/>
              <w:bottom w:w="30" w:type="dxa"/>
              <w:left w:w="60" w:type="dxa"/>
              <w:right w:w="60" w:type="dxa"/>
            </w:tcMar>
          </w:tcPr>
          <w:p>
            <w:pPr>
              <w:jc w:val="center"/>
            </w:pPr>
            <w:r>
              <w:rPr>
                <w:rFonts w:ascii="宋体" w:hAnsi="宋体" w:eastAsia="宋体"/>
                <w:b w:val="0"/>
                <w:sz w:val="18"/>
              </w:rPr>
              <w:t>4,179</w:t>
            </w:r>
          </w:p>
        </w:tc>
        <w:tc>
          <w:tcPr>
            <w:tcW w:type="dxa" w:w="1344"/>
            <w:tcMar>
              <w:top w:w="30" w:type="dxa"/>
              <w:bottom w:w="30" w:type="dxa"/>
              <w:left w:w="60" w:type="dxa"/>
              <w:right w:w="60" w:type="dxa"/>
            </w:tcMar>
          </w:tcPr>
          <w:p>
            <w:pPr>
              <w:jc w:val="center"/>
            </w:pPr>
            <w:r>
              <w:rPr>
                <w:rFonts w:ascii="宋体" w:hAnsi="宋体" w:eastAsia="宋体"/>
                <w:b w:val="0"/>
                <w:sz w:val="18"/>
              </w:rPr>
              <w:t>70名儿童(6-12岁)</w:t>
            </w:r>
          </w:p>
        </w:tc>
        <w:tc>
          <w:tcPr>
            <w:tcW w:type="dxa" w:w="1344"/>
            <w:tcMar>
              <w:top w:w="30" w:type="dxa"/>
              <w:bottom w:w="30" w:type="dxa"/>
              <w:left w:w="60" w:type="dxa"/>
              <w:right w:w="60" w:type="dxa"/>
            </w:tcMar>
          </w:tcPr>
          <w:p>
            <w:pPr>
              <w:jc w:val="center"/>
            </w:pPr>
            <w:r>
              <w:rPr>
                <w:rFonts w:ascii="宋体" w:hAnsi="宋体" w:eastAsia="宋体"/>
                <w:b w:val="0"/>
                <w:sz w:val="18"/>
              </w:rPr>
              <w:t>儿童</w:t>
            </w:r>
          </w:p>
        </w:tc>
        <w:tc>
          <w:tcPr>
            <w:tcW w:type="dxa" w:w="1344"/>
            <w:tcMar>
              <w:top w:w="30" w:type="dxa"/>
              <w:bottom w:w="30" w:type="dxa"/>
              <w:left w:w="60" w:type="dxa"/>
              <w:right w:w="60" w:type="dxa"/>
            </w:tcMar>
          </w:tcPr>
          <w:p>
            <w:pPr>
              <w:jc w:val="center"/>
            </w:pPr>
            <w:r>
              <w:rPr>
                <w:rFonts w:ascii="宋体" w:hAnsi="宋体" w:eastAsia="宋体"/>
                <w:b w:val="0"/>
                <w:sz w:val="18"/>
              </w:rPr>
              <w:t>表演型</w:t>
            </w:r>
          </w:p>
        </w:tc>
        <w:tc>
          <w:tcPr>
            <w:tcW w:type="dxa" w:w="1344"/>
            <w:tcMar>
              <w:top w:w="30" w:type="dxa"/>
              <w:bottom w:w="30" w:type="dxa"/>
              <w:left w:w="60" w:type="dxa"/>
              <w:right w:w="60" w:type="dxa"/>
            </w:tcMar>
          </w:tcPr>
          <w:p>
            <w:pPr>
              <w:jc w:val="center"/>
            </w:pPr>
            <w:r>
              <w:rPr>
                <w:rFonts w:ascii="宋体" w:hAnsi="宋体" w:eastAsia="宋体"/>
                <w:b w:val="0"/>
                <w:sz w:val="18"/>
              </w:rPr>
              <w:t>英语+泰卢固语</w:t>
            </w:r>
          </w:p>
        </w:tc>
      </w:tr>
      <w:tr>
        <w:tc>
          <w:tcPr>
            <w:tcW w:type="dxa" w:w="1344"/>
            <w:tcMar>
              <w:top w:w="30" w:type="dxa"/>
              <w:bottom w:w="30" w:type="dxa"/>
              <w:left w:w="60" w:type="dxa"/>
              <w:right w:w="60" w:type="dxa"/>
            </w:tcMar>
          </w:tcPr>
          <w:p>
            <w:pPr>
              <w:jc w:val="center"/>
            </w:pPr>
            <w:r>
              <w:rPr>
                <w:rFonts w:ascii="宋体" w:hAnsi="宋体" w:eastAsia="宋体"/>
                <w:b w:val="0"/>
                <w:sz w:val="18"/>
              </w:rPr>
              <w:t>FAU Aibo</w:t>
            </w:r>
          </w:p>
        </w:tc>
        <w:tc>
          <w:tcPr>
            <w:tcW w:type="dxa" w:w="1344"/>
            <w:tcMar>
              <w:top w:w="30" w:type="dxa"/>
              <w:bottom w:w="30" w:type="dxa"/>
              <w:left w:w="60" w:type="dxa"/>
              <w:right w:w="60" w:type="dxa"/>
            </w:tcMar>
          </w:tcPr>
          <w:p>
            <w:pPr>
              <w:jc w:val="center"/>
            </w:pPr>
            <w:r>
              <w:rPr>
                <w:rFonts w:ascii="宋体" w:hAnsi="宋体" w:eastAsia="宋体"/>
                <w:b w:val="0"/>
                <w:sz w:val="18"/>
              </w:rPr>
              <w:t>4</w:t>
            </w:r>
          </w:p>
        </w:tc>
        <w:tc>
          <w:tcPr>
            <w:tcW w:type="dxa" w:w="1344"/>
            <w:tcMar>
              <w:top w:w="30" w:type="dxa"/>
              <w:bottom w:w="30" w:type="dxa"/>
              <w:left w:w="60" w:type="dxa"/>
              <w:right w:w="60" w:type="dxa"/>
            </w:tcMar>
          </w:tcPr>
          <w:p>
            <w:pPr>
              <w:jc w:val="center"/>
            </w:pPr>
            <w:r>
              <w:rPr>
                <w:rFonts w:ascii="宋体" w:hAnsi="宋体" w:eastAsia="宋体"/>
                <w:b w:val="0"/>
                <w:sz w:val="18"/>
              </w:rPr>
              <w:t>18,216</w:t>
            </w:r>
          </w:p>
        </w:tc>
        <w:tc>
          <w:tcPr>
            <w:tcW w:type="dxa" w:w="1344"/>
            <w:tcMar>
              <w:top w:w="30" w:type="dxa"/>
              <w:bottom w:w="30" w:type="dxa"/>
              <w:left w:w="60" w:type="dxa"/>
              <w:right w:w="60" w:type="dxa"/>
            </w:tcMar>
          </w:tcPr>
          <w:p>
            <w:pPr>
              <w:jc w:val="center"/>
            </w:pPr>
            <w:r>
              <w:rPr>
                <w:rFonts w:ascii="宋体" w:hAnsi="宋体" w:eastAsia="宋体"/>
                <w:b w:val="0"/>
                <w:sz w:val="18"/>
              </w:rPr>
              <w:t>51名儿童</w:t>
            </w:r>
          </w:p>
        </w:tc>
        <w:tc>
          <w:tcPr>
            <w:tcW w:type="dxa" w:w="1344"/>
            <w:tcMar>
              <w:top w:w="30" w:type="dxa"/>
              <w:bottom w:w="30" w:type="dxa"/>
              <w:left w:w="60" w:type="dxa"/>
              <w:right w:w="60" w:type="dxa"/>
            </w:tcMar>
          </w:tcPr>
          <w:p>
            <w:pPr>
              <w:jc w:val="center"/>
            </w:pPr>
            <w:r>
              <w:rPr>
                <w:rFonts w:ascii="宋体" w:hAnsi="宋体" w:eastAsia="宋体"/>
                <w:b w:val="0"/>
                <w:sz w:val="18"/>
              </w:rPr>
              <w:t>10–13岁</w:t>
            </w:r>
          </w:p>
        </w:tc>
        <w:tc>
          <w:tcPr>
            <w:tcW w:type="dxa" w:w="1344"/>
            <w:tcMar>
              <w:top w:w="30" w:type="dxa"/>
              <w:bottom w:w="30" w:type="dxa"/>
              <w:left w:w="60" w:type="dxa"/>
              <w:right w:w="60" w:type="dxa"/>
            </w:tcMar>
          </w:tcPr>
          <w:p>
            <w:pPr>
              <w:jc w:val="center"/>
            </w:pPr>
            <w:r>
              <w:rPr>
                <w:rFonts w:ascii="宋体" w:hAnsi="宋体" w:eastAsia="宋体"/>
                <w:b w:val="0"/>
                <w:sz w:val="18"/>
              </w:rPr>
              <w:t>自发型</w:t>
            </w:r>
          </w:p>
        </w:tc>
        <w:tc>
          <w:tcPr>
            <w:tcW w:type="dxa" w:w="1344"/>
            <w:tcMar>
              <w:top w:w="30" w:type="dxa"/>
              <w:bottom w:w="30" w:type="dxa"/>
              <w:left w:w="60" w:type="dxa"/>
              <w:right w:w="60" w:type="dxa"/>
            </w:tcMar>
          </w:tcPr>
          <w:p>
            <w:pPr>
              <w:jc w:val="center"/>
            </w:pPr>
            <w:r>
              <w:rPr>
                <w:rFonts w:ascii="宋体" w:hAnsi="宋体" w:eastAsia="宋体"/>
                <w:b w:val="0"/>
                <w:sz w:val="18"/>
              </w:rPr>
              <w:t>德语</w:t>
            </w:r>
          </w:p>
        </w:tc>
      </w:tr>
      <w:tr>
        <w:tc>
          <w:tcPr>
            <w:tcW w:type="dxa" w:w="1344"/>
            <w:tcMar>
              <w:top w:w="30" w:type="dxa"/>
              <w:bottom w:w="30" w:type="dxa"/>
              <w:left w:w="60" w:type="dxa"/>
              <w:right w:w="60" w:type="dxa"/>
            </w:tcMar>
          </w:tcPr>
          <w:p>
            <w:pPr>
              <w:jc w:val="center"/>
            </w:pPr>
            <w:r>
              <w:rPr>
                <w:rFonts w:ascii="宋体" w:hAnsi="宋体" w:eastAsia="宋体"/>
                <w:b w:val="0"/>
                <w:sz w:val="18"/>
              </w:rPr>
              <w:t>IEMOCAP</w:t>
            </w:r>
          </w:p>
        </w:tc>
        <w:tc>
          <w:tcPr>
            <w:tcW w:type="dxa" w:w="1344"/>
            <w:tcMar>
              <w:top w:w="30" w:type="dxa"/>
              <w:bottom w:w="30" w:type="dxa"/>
              <w:left w:w="60" w:type="dxa"/>
              <w:right w:w="60" w:type="dxa"/>
            </w:tcMar>
          </w:tcPr>
          <w:p>
            <w:pPr>
              <w:jc w:val="center"/>
            </w:pPr>
            <w:r>
              <w:rPr>
                <w:rFonts w:ascii="宋体" w:hAnsi="宋体" w:eastAsia="宋体"/>
                <w:b w:val="0"/>
                <w:sz w:val="18"/>
              </w:rPr>
              <w:t>4</w:t>
            </w:r>
          </w:p>
        </w:tc>
        <w:tc>
          <w:tcPr>
            <w:tcW w:type="dxa" w:w="1344"/>
            <w:tcMar>
              <w:top w:w="30" w:type="dxa"/>
              <w:bottom w:w="30" w:type="dxa"/>
              <w:left w:w="60" w:type="dxa"/>
              <w:right w:w="60" w:type="dxa"/>
            </w:tcMar>
          </w:tcPr>
          <w:p>
            <w:pPr>
              <w:jc w:val="center"/>
            </w:pPr>
            <w:r>
              <w:rPr>
                <w:rFonts w:ascii="宋体" w:hAnsi="宋体" w:eastAsia="宋体"/>
                <w:b w:val="0"/>
                <w:sz w:val="18"/>
              </w:rPr>
              <w:t>9,794</w:t>
            </w:r>
          </w:p>
        </w:tc>
        <w:tc>
          <w:tcPr>
            <w:tcW w:type="dxa" w:w="1344"/>
            <w:tcMar>
              <w:top w:w="30" w:type="dxa"/>
              <w:bottom w:w="30" w:type="dxa"/>
              <w:left w:w="60" w:type="dxa"/>
              <w:right w:w="60" w:type="dxa"/>
            </w:tcMar>
          </w:tcPr>
          <w:p>
            <w:pPr>
              <w:jc w:val="center"/>
            </w:pPr>
            <w:r>
              <w:rPr>
                <w:rFonts w:ascii="宋体" w:hAnsi="宋体" w:eastAsia="宋体"/>
                <w:b w:val="0"/>
                <w:sz w:val="18"/>
              </w:rPr>
              <w:t>10名成人</w:t>
            </w:r>
          </w:p>
        </w:tc>
        <w:tc>
          <w:tcPr>
            <w:tcW w:type="dxa" w:w="1344"/>
            <w:tcMar>
              <w:top w:w="30" w:type="dxa"/>
              <w:bottom w:w="30" w:type="dxa"/>
              <w:left w:w="60" w:type="dxa"/>
              <w:right w:w="60" w:type="dxa"/>
            </w:tcMar>
          </w:tcPr>
          <w:p>
            <w:pPr>
              <w:jc w:val="center"/>
            </w:pPr>
            <w:r>
              <w:rPr>
                <w:rFonts w:ascii="宋体" w:hAnsi="宋体" w:eastAsia="宋体"/>
                <w:b w:val="0"/>
                <w:sz w:val="18"/>
              </w:rPr>
              <w:t>成人</w:t>
            </w:r>
          </w:p>
        </w:tc>
        <w:tc>
          <w:tcPr>
            <w:tcW w:type="dxa" w:w="1344"/>
            <w:tcMar>
              <w:top w:w="30" w:type="dxa"/>
              <w:bottom w:w="30" w:type="dxa"/>
              <w:left w:w="60" w:type="dxa"/>
              <w:right w:w="60" w:type="dxa"/>
            </w:tcMar>
          </w:tcPr>
          <w:p>
            <w:pPr>
              <w:jc w:val="center"/>
            </w:pPr>
            <w:r>
              <w:rPr>
                <w:rFonts w:ascii="宋体" w:hAnsi="宋体" w:eastAsia="宋体"/>
                <w:b w:val="0"/>
                <w:sz w:val="18"/>
              </w:rPr>
              <w:t>表演型</w:t>
            </w:r>
          </w:p>
        </w:tc>
        <w:tc>
          <w:tcPr>
            <w:tcW w:type="dxa" w:w="1344"/>
            <w:tcMar>
              <w:top w:w="30" w:type="dxa"/>
              <w:bottom w:w="30" w:type="dxa"/>
              <w:left w:w="60" w:type="dxa"/>
              <w:right w:w="60" w:type="dxa"/>
            </w:tcMar>
          </w:tcPr>
          <w:p>
            <w:pPr>
              <w:jc w:val="center"/>
            </w:pPr>
            <w:r>
              <w:rPr>
                <w:rFonts w:ascii="宋体" w:hAnsi="宋体" w:eastAsia="宋体"/>
                <w:b w:val="0"/>
                <w:sz w:val="18"/>
              </w:rPr>
              <w:t>英语</w:t>
            </w:r>
          </w:p>
        </w:tc>
      </w:tr>
    </w:tbl>
    <w:p/>
    <w:p>
      <w:pPr>
        <w:spacing w:after="80"/>
        <w:jc w:val="center"/>
      </w:pPr>
      <w:r>
        <w:rPr>
          <w:b/>
          <w:i w:val="0"/>
          <w:sz w:val="20"/>
        </w:rPr>
        <w:t>表2. 实验系列概览。✓ = 已完成；⟳ = 进行中。</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Mar>
              <w:top w:w="30" w:type="dxa"/>
              <w:bottom w:w="30" w:type="dxa"/>
              <w:left w:w="60" w:type="dxa"/>
              <w:right w:w="60" w:type="dxa"/>
            </w:tcMar>
            <w:shd w:fill="D9E2F3" w:val="clear"/>
          </w:tcPr>
          <w:p>
            <w:pPr>
              <w:jc w:val="center"/>
            </w:pPr>
            <w:r>
              <w:rPr>
                <w:rFonts w:ascii="黑体" w:hAnsi="黑体" w:eastAsia="黑体"/>
                <w:b/>
                <w:sz w:val="18"/>
              </w:rPr>
              <w:t>系列</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研究问题</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配置数</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运行数</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状态</w:t>
            </w:r>
          </w:p>
        </w:tc>
      </w:tr>
      <w:tr>
        <w:tc>
          <w:tcPr>
            <w:tcW w:type="dxa" w:w="1881"/>
            <w:tcMar>
              <w:top w:w="30" w:type="dxa"/>
              <w:bottom w:w="30" w:type="dxa"/>
              <w:left w:w="60" w:type="dxa"/>
              <w:right w:w="60" w:type="dxa"/>
            </w:tcMar>
          </w:tcPr>
          <w:p>
            <w:pPr>
              <w:jc w:val="center"/>
            </w:pPr>
            <w:r>
              <w:rPr>
                <w:rFonts w:ascii="宋体" w:hAnsi="宋体" w:eastAsia="宋体"/>
                <w:b w:val="0"/>
                <w:sz w:val="18"/>
              </w:rPr>
              <w:t>E1</w:t>
            </w:r>
          </w:p>
        </w:tc>
        <w:tc>
          <w:tcPr>
            <w:tcW w:type="dxa" w:w="1881"/>
            <w:tcMar>
              <w:top w:w="30" w:type="dxa"/>
              <w:bottom w:w="30" w:type="dxa"/>
              <w:left w:w="60" w:type="dxa"/>
              <w:right w:w="60" w:type="dxa"/>
            </w:tcMar>
          </w:tcPr>
          <w:p>
            <w:pPr>
              <w:jc w:val="center"/>
            </w:pPr>
            <w:r>
              <w:rPr>
                <w:rFonts w:ascii="宋体" w:hAnsi="宋体" w:eastAsia="宋体"/>
                <w:b w:val="0"/>
                <w:sz w:val="18"/>
              </w:rPr>
              <w:t>各数据集最优池化策略？</w:t>
            </w:r>
          </w:p>
        </w:tc>
        <w:tc>
          <w:tcPr>
            <w:tcW w:type="dxa" w:w="1881"/>
            <w:tcMar>
              <w:top w:w="30" w:type="dxa"/>
              <w:bottom w:w="30" w:type="dxa"/>
              <w:left w:w="60" w:type="dxa"/>
              <w:right w:w="60" w:type="dxa"/>
            </w:tcMar>
          </w:tcPr>
          <w:p>
            <w:pPr>
              <w:jc w:val="center"/>
            </w:pPr>
            <w:r>
              <w:rPr>
                <w:rFonts w:ascii="宋体" w:hAnsi="宋体" w:eastAsia="宋体"/>
                <w:b w:val="0"/>
                <w:sz w:val="18"/>
              </w:rPr>
              <w:t>9</w:t>
            </w:r>
          </w:p>
        </w:tc>
        <w:tc>
          <w:tcPr>
            <w:tcW w:type="dxa" w:w="1881"/>
            <w:tcMar>
              <w:top w:w="30" w:type="dxa"/>
              <w:bottom w:w="30" w:type="dxa"/>
              <w:left w:w="60" w:type="dxa"/>
              <w:right w:w="60" w:type="dxa"/>
            </w:tcMar>
          </w:tcPr>
          <w:p>
            <w:pPr>
              <w:jc w:val="center"/>
            </w:pPr>
            <w:r>
              <w:rPr>
                <w:rFonts w:ascii="宋体" w:hAnsi="宋体" w:eastAsia="宋体"/>
                <w:b w:val="0"/>
                <w:sz w:val="18"/>
              </w:rPr>
              <w:t>27</w:t>
            </w:r>
          </w:p>
        </w:tc>
        <w:tc>
          <w:tcPr>
            <w:tcW w:type="dxa" w:w="1881"/>
            <w:tcMar>
              <w:top w:w="30" w:type="dxa"/>
              <w:bottom w:w="30" w:type="dxa"/>
              <w:left w:w="60" w:type="dxa"/>
              <w:right w:w="60" w:type="dxa"/>
            </w:tcMar>
          </w:tcPr>
          <w:p>
            <w:pPr>
              <w:jc w:val="center"/>
            </w:pPr>
            <w:r>
              <w:rPr>
                <w:rFonts w:ascii="宋体" w:hAnsi="宋体" w:eastAsia="宋体"/>
                <w:b w:val="0"/>
                <w:sz w:val="18"/>
              </w:rPr>
              <w:t>✓ 完成</w:t>
            </w:r>
          </w:p>
        </w:tc>
      </w:tr>
      <w:tr>
        <w:tc>
          <w:tcPr>
            <w:tcW w:type="dxa" w:w="1881"/>
            <w:tcMar>
              <w:top w:w="30" w:type="dxa"/>
              <w:bottom w:w="30" w:type="dxa"/>
              <w:left w:w="60" w:type="dxa"/>
              <w:right w:w="60" w:type="dxa"/>
            </w:tcMar>
          </w:tcPr>
          <w:p>
            <w:pPr>
              <w:jc w:val="center"/>
            </w:pPr>
            <w:r>
              <w:rPr>
                <w:rFonts w:ascii="宋体" w:hAnsi="宋体" w:eastAsia="宋体"/>
                <w:b w:val="0"/>
                <w:sz w:val="18"/>
              </w:rPr>
              <w:t>E2</w:t>
            </w:r>
          </w:p>
        </w:tc>
        <w:tc>
          <w:tcPr>
            <w:tcW w:type="dxa" w:w="1881"/>
            <w:tcMar>
              <w:top w:w="30" w:type="dxa"/>
              <w:bottom w:w="30" w:type="dxa"/>
              <w:left w:w="60" w:type="dxa"/>
              <w:right w:w="60" w:type="dxa"/>
            </w:tcMar>
          </w:tcPr>
          <w:p>
            <w:pPr>
              <w:jc w:val="center"/>
            </w:pPr>
            <w:r>
              <w:rPr>
                <w:rFonts w:ascii="宋体" w:hAnsi="宋体" w:eastAsia="宋体"/>
                <w:b w:val="0"/>
                <w:sz w:val="18"/>
              </w:rPr>
              <w:t>冻结 vs. 解冻WavLM？</w:t>
            </w:r>
          </w:p>
        </w:tc>
        <w:tc>
          <w:tcPr>
            <w:tcW w:type="dxa" w:w="1881"/>
            <w:tcMar>
              <w:top w:w="30" w:type="dxa"/>
              <w:bottom w:w="30" w:type="dxa"/>
              <w:left w:w="60" w:type="dxa"/>
              <w:right w:w="60" w:type="dxa"/>
            </w:tcMar>
          </w:tcPr>
          <w:p>
            <w:pPr>
              <w:jc w:val="center"/>
            </w:pPr>
            <w:r>
              <w:rPr>
                <w:rFonts w:ascii="宋体" w:hAnsi="宋体" w:eastAsia="宋体"/>
                <w:b w:val="0"/>
                <w:sz w:val="18"/>
              </w:rPr>
              <w:t>3</w:t>
            </w:r>
          </w:p>
        </w:tc>
        <w:tc>
          <w:tcPr>
            <w:tcW w:type="dxa" w:w="1881"/>
            <w:tcMar>
              <w:top w:w="30" w:type="dxa"/>
              <w:bottom w:w="30" w:type="dxa"/>
              <w:left w:w="60" w:type="dxa"/>
              <w:right w:w="60" w:type="dxa"/>
            </w:tcMar>
          </w:tcPr>
          <w:p>
            <w:pPr>
              <w:jc w:val="center"/>
            </w:pPr>
            <w:r>
              <w:rPr>
                <w:rFonts w:ascii="宋体" w:hAnsi="宋体" w:eastAsia="宋体"/>
                <w:b w:val="0"/>
                <w:sz w:val="18"/>
              </w:rPr>
              <w:t>9</w:t>
            </w:r>
          </w:p>
        </w:tc>
        <w:tc>
          <w:tcPr>
            <w:tcW w:type="dxa" w:w="1881"/>
            <w:tcMar>
              <w:top w:w="30" w:type="dxa"/>
              <w:bottom w:w="30" w:type="dxa"/>
              <w:left w:w="60" w:type="dxa"/>
              <w:right w:w="60" w:type="dxa"/>
            </w:tcMar>
          </w:tcPr>
          <w:p>
            <w:pPr>
              <w:jc w:val="center"/>
            </w:pPr>
            <w:r>
              <w:rPr>
                <w:rFonts w:ascii="宋体" w:hAnsi="宋体" w:eastAsia="宋体"/>
                <w:b w:val="0"/>
                <w:sz w:val="18"/>
              </w:rPr>
              <w:t>⟳ 进行中</w:t>
            </w:r>
          </w:p>
        </w:tc>
      </w:tr>
      <w:tr>
        <w:tc>
          <w:tcPr>
            <w:tcW w:type="dxa" w:w="1881"/>
            <w:tcMar>
              <w:top w:w="30" w:type="dxa"/>
              <w:bottom w:w="30" w:type="dxa"/>
              <w:left w:w="60" w:type="dxa"/>
              <w:right w:w="60" w:type="dxa"/>
            </w:tcMar>
          </w:tcPr>
          <w:p>
            <w:pPr>
              <w:jc w:val="center"/>
            </w:pPr>
            <w:r>
              <w:rPr>
                <w:rFonts w:ascii="宋体" w:hAnsi="宋体" w:eastAsia="宋体"/>
                <w:b w:val="0"/>
                <w:sz w:val="18"/>
              </w:rPr>
              <w:t>E3</w:t>
            </w:r>
          </w:p>
        </w:tc>
        <w:tc>
          <w:tcPr>
            <w:tcW w:type="dxa" w:w="1881"/>
            <w:tcMar>
              <w:top w:w="30" w:type="dxa"/>
              <w:bottom w:w="30" w:type="dxa"/>
              <w:left w:w="60" w:type="dxa"/>
              <w:right w:w="60" w:type="dxa"/>
            </w:tcMar>
          </w:tcPr>
          <w:p>
            <w:pPr>
              <w:jc w:val="center"/>
            </w:pPr>
            <w:r>
              <w:rPr>
                <w:rFonts w:ascii="宋体" w:hAnsi="宋体" w:eastAsia="宋体"/>
                <w:b w:val="0"/>
                <w:sz w:val="18"/>
              </w:rPr>
              <w:t>零样本跨语料库迁移？</w:t>
            </w:r>
          </w:p>
        </w:tc>
        <w:tc>
          <w:tcPr>
            <w:tcW w:type="dxa" w:w="1881"/>
            <w:tcMar>
              <w:top w:w="30" w:type="dxa"/>
              <w:bottom w:w="30" w:type="dxa"/>
              <w:left w:w="60" w:type="dxa"/>
              <w:right w:w="60" w:type="dxa"/>
            </w:tcMar>
          </w:tcPr>
          <w:p>
            <w:pPr>
              <w:jc w:val="center"/>
            </w:pPr>
            <w:r>
              <w:rPr>
                <w:rFonts w:ascii="宋体" w:hAnsi="宋体" w:eastAsia="宋体"/>
                <w:b w:val="0"/>
                <w:sz w:val="18"/>
              </w:rPr>
              <w:t>18</w:t>
            </w:r>
          </w:p>
        </w:tc>
        <w:tc>
          <w:tcPr>
            <w:tcW w:type="dxa" w:w="1881"/>
            <w:tcMar>
              <w:top w:w="30" w:type="dxa"/>
              <w:bottom w:w="30" w:type="dxa"/>
              <w:left w:w="60" w:type="dxa"/>
              <w:right w:w="60" w:type="dxa"/>
            </w:tcMar>
          </w:tcPr>
          <w:p>
            <w:pPr>
              <w:jc w:val="center"/>
            </w:pPr>
            <w:r>
              <w:rPr>
                <w:rFonts w:ascii="宋体" w:hAnsi="宋体" w:eastAsia="宋体"/>
                <w:b w:val="0"/>
                <w:sz w:val="18"/>
              </w:rPr>
              <w:t>18</w:t>
            </w:r>
          </w:p>
        </w:tc>
        <w:tc>
          <w:tcPr>
            <w:tcW w:type="dxa" w:w="1881"/>
            <w:tcMar>
              <w:top w:w="30" w:type="dxa"/>
              <w:bottom w:w="30" w:type="dxa"/>
              <w:left w:w="60" w:type="dxa"/>
              <w:right w:w="60" w:type="dxa"/>
            </w:tcMar>
          </w:tcPr>
          <w:p>
            <w:pPr>
              <w:jc w:val="center"/>
            </w:pPr>
            <w:r>
              <w:rPr>
                <w:rFonts w:ascii="宋体" w:hAnsi="宋体" w:eastAsia="宋体"/>
                <w:b w:val="0"/>
                <w:sz w:val="18"/>
              </w:rPr>
              <w:t>部分完成</w:t>
            </w:r>
          </w:p>
        </w:tc>
      </w:tr>
      <w:tr>
        <w:tc>
          <w:tcPr>
            <w:tcW w:type="dxa" w:w="1881"/>
            <w:tcMar>
              <w:top w:w="30" w:type="dxa"/>
              <w:bottom w:w="30" w:type="dxa"/>
              <w:left w:w="60" w:type="dxa"/>
              <w:right w:w="60" w:type="dxa"/>
            </w:tcMar>
          </w:tcPr>
          <w:p>
            <w:pPr>
              <w:jc w:val="center"/>
            </w:pPr>
            <w:r>
              <w:rPr>
                <w:rFonts w:ascii="宋体" w:hAnsi="宋体" w:eastAsia="宋体"/>
                <w:b w:val="0"/>
                <w:sz w:val="18"/>
              </w:rPr>
              <w:t>E4</w:t>
            </w:r>
          </w:p>
        </w:tc>
        <w:tc>
          <w:tcPr>
            <w:tcW w:type="dxa" w:w="1881"/>
            <w:tcMar>
              <w:top w:w="30" w:type="dxa"/>
              <w:bottom w:w="30" w:type="dxa"/>
              <w:left w:w="60" w:type="dxa"/>
              <w:right w:w="60" w:type="dxa"/>
            </w:tcMar>
          </w:tcPr>
          <w:p>
            <w:pPr>
              <w:jc w:val="center"/>
            </w:pPr>
            <w:r>
              <w:rPr>
                <w:rFonts w:ascii="宋体" w:hAnsi="宋体" w:eastAsia="宋体"/>
                <w:b w:val="0"/>
                <w:sz w:val="18"/>
              </w:rPr>
              <w:t>FD–WA单调关系？</w:t>
            </w:r>
          </w:p>
        </w:tc>
        <w:tc>
          <w:tcPr>
            <w:tcW w:type="dxa" w:w="1881"/>
            <w:tcMar>
              <w:top w:w="30" w:type="dxa"/>
              <w:bottom w:w="30" w:type="dxa"/>
              <w:left w:w="60" w:type="dxa"/>
              <w:right w:w="60" w:type="dxa"/>
            </w:tcMar>
          </w:tcPr>
          <w:p>
            <w:pPr>
              <w:jc w:val="center"/>
            </w:pPr>
            <w:r>
              <w:rPr>
                <w:rFonts w:ascii="宋体" w:hAnsi="宋体" w:eastAsia="宋体"/>
                <w:b w:val="0"/>
                <w:sz w:val="18"/>
              </w:rPr>
              <w:t>12</w:t>
            </w:r>
          </w:p>
        </w:tc>
        <w:tc>
          <w:tcPr>
            <w:tcW w:type="dxa" w:w="1881"/>
            <w:tcMar>
              <w:top w:w="30" w:type="dxa"/>
              <w:bottom w:w="30" w:type="dxa"/>
              <w:left w:w="60" w:type="dxa"/>
              <w:right w:w="60" w:type="dxa"/>
            </w:tcMar>
          </w:tcPr>
          <w:p>
            <w:pPr>
              <w:jc w:val="center"/>
            </w:pPr>
            <w:r>
              <w:rPr>
                <w:rFonts w:ascii="宋体" w:hAnsi="宋体" w:eastAsia="宋体"/>
                <w:b w:val="0"/>
                <w:sz w:val="18"/>
              </w:rPr>
              <w:t>36</w:t>
            </w:r>
          </w:p>
        </w:tc>
        <w:tc>
          <w:tcPr>
            <w:tcW w:type="dxa" w:w="1881"/>
            <w:tcMar>
              <w:top w:w="30" w:type="dxa"/>
              <w:bottom w:w="30" w:type="dxa"/>
              <w:left w:w="60" w:type="dxa"/>
              <w:right w:w="60" w:type="dxa"/>
            </w:tcMar>
          </w:tcPr>
          <w:p>
            <w:pPr>
              <w:jc w:val="center"/>
            </w:pPr>
            <w:r>
              <w:rPr>
                <w:rFonts w:ascii="宋体" w:hAnsi="宋体" w:eastAsia="宋体"/>
                <w:b w:val="0"/>
                <w:sz w:val="18"/>
              </w:rPr>
              <w:t>⟳ 进行中</w:t>
            </w:r>
          </w:p>
        </w:tc>
      </w:tr>
      <w:tr>
        <w:tc>
          <w:tcPr>
            <w:tcW w:type="dxa" w:w="1881"/>
            <w:tcMar>
              <w:top w:w="30" w:type="dxa"/>
              <w:bottom w:w="30" w:type="dxa"/>
              <w:left w:w="60" w:type="dxa"/>
              <w:right w:w="60" w:type="dxa"/>
            </w:tcMar>
          </w:tcPr>
          <w:p>
            <w:pPr>
              <w:jc w:val="center"/>
            </w:pPr>
            <w:r>
              <w:rPr>
                <w:rFonts w:ascii="宋体" w:hAnsi="宋体" w:eastAsia="宋体"/>
                <w:b w:val="0"/>
                <w:sz w:val="18"/>
              </w:rPr>
              <w:t>E5</w:t>
            </w:r>
          </w:p>
        </w:tc>
        <w:tc>
          <w:tcPr>
            <w:tcW w:type="dxa" w:w="1881"/>
            <w:tcMar>
              <w:top w:w="30" w:type="dxa"/>
              <w:bottom w:w="30" w:type="dxa"/>
              <w:left w:w="60" w:type="dxa"/>
              <w:right w:w="60" w:type="dxa"/>
            </w:tcMar>
          </w:tcPr>
          <w:p>
            <w:pPr>
              <w:jc w:val="center"/>
            </w:pPr>
            <w:r>
              <w:rPr>
                <w:rFonts w:ascii="宋体" w:hAnsi="宋体" w:eastAsia="宋体"/>
                <w:b w:val="0"/>
                <w:sz w:val="18"/>
              </w:rPr>
              <w:t>加权融合 &gt; 单层？</w:t>
            </w:r>
          </w:p>
        </w:tc>
        <w:tc>
          <w:tcPr>
            <w:tcW w:type="dxa" w:w="1881"/>
            <w:tcMar>
              <w:top w:w="30" w:type="dxa"/>
              <w:bottom w:w="30" w:type="dxa"/>
              <w:left w:w="60" w:type="dxa"/>
              <w:right w:w="60" w:type="dxa"/>
            </w:tcMar>
          </w:tcPr>
          <w:p>
            <w:pPr>
              <w:jc w:val="center"/>
            </w:pPr>
            <w:r>
              <w:rPr>
                <w:rFonts w:ascii="宋体" w:hAnsi="宋体" w:eastAsia="宋体"/>
                <w:b w:val="0"/>
                <w:sz w:val="18"/>
              </w:rPr>
              <w:t>9</w:t>
            </w:r>
          </w:p>
        </w:tc>
        <w:tc>
          <w:tcPr>
            <w:tcW w:type="dxa" w:w="1881"/>
            <w:tcMar>
              <w:top w:w="30" w:type="dxa"/>
              <w:bottom w:w="30" w:type="dxa"/>
              <w:left w:w="60" w:type="dxa"/>
              <w:right w:w="60" w:type="dxa"/>
            </w:tcMar>
          </w:tcPr>
          <w:p>
            <w:pPr>
              <w:jc w:val="center"/>
            </w:pPr>
            <w:r>
              <w:rPr>
                <w:rFonts w:ascii="宋体" w:hAnsi="宋体" w:eastAsia="宋体"/>
                <w:b w:val="0"/>
                <w:sz w:val="18"/>
              </w:rPr>
              <w:t>27</w:t>
            </w:r>
          </w:p>
        </w:tc>
        <w:tc>
          <w:tcPr>
            <w:tcW w:type="dxa" w:w="1881"/>
            <w:tcMar>
              <w:top w:w="30" w:type="dxa"/>
              <w:bottom w:w="30" w:type="dxa"/>
              <w:left w:w="60" w:type="dxa"/>
              <w:right w:w="60" w:type="dxa"/>
            </w:tcMar>
          </w:tcPr>
          <w:p>
            <w:pPr>
              <w:jc w:val="center"/>
            </w:pPr>
            <w:r>
              <w:rPr>
                <w:rFonts w:ascii="宋体" w:hAnsi="宋体" w:eastAsia="宋体"/>
                <w:b w:val="0"/>
                <w:sz w:val="18"/>
              </w:rPr>
              <w:t>⟳ 进行中</w:t>
            </w:r>
          </w:p>
        </w:tc>
      </w:tr>
      <w:tr>
        <w:tc>
          <w:tcPr>
            <w:tcW w:type="dxa" w:w="1881"/>
            <w:tcMar>
              <w:top w:w="30" w:type="dxa"/>
              <w:bottom w:w="30" w:type="dxa"/>
              <w:left w:w="60" w:type="dxa"/>
              <w:right w:w="60" w:type="dxa"/>
            </w:tcMar>
          </w:tcPr>
          <w:p>
            <w:pPr>
              <w:jc w:val="center"/>
            </w:pPr>
            <w:r>
              <w:rPr>
                <w:rFonts w:ascii="宋体" w:hAnsi="宋体" w:eastAsia="宋体"/>
                <w:b w:val="0"/>
                <w:sz w:val="18"/>
              </w:rPr>
              <w:t>E6</w:t>
            </w:r>
          </w:p>
        </w:tc>
        <w:tc>
          <w:tcPr>
            <w:tcW w:type="dxa" w:w="1881"/>
            <w:tcMar>
              <w:top w:w="30" w:type="dxa"/>
              <w:bottom w:w="30" w:type="dxa"/>
              <w:left w:w="60" w:type="dxa"/>
              <w:right w:w="60" w:type="dxa"/>
            </w:tcMar>
          </w:tcPr>
          <w:p>
            <w:pPr>
              <w:jc w:val="center"/>
            </w:pPr>
            <w:r>
              <w:rPr>
                <w:rFonts w:ascii="宋体" w:hAnsi="宋体" w:eastAsia="宋体"/>
                <w:b w:val="0"/>
                <w:sz w:val="18"/>
              </w:rPr>
              <w:t>各模块贡献度？</w:t>
            </w:r>
          </w:p>
        </w:tc>
        <w:tc>
          <w:tcPr>
            <w:tcW w:type="dxa" w:w="1881"/>
            <w:tcMar>
              <w:top w:w="30" w:type="dxa"/>
              <w:bottom w:w="30" w:type="dxa"/>
              <w:left w:w="60" w:type="dxa"/>
              <w:right w:w="60" w:type="dxa"/>
            </w:tcMar>
          </w:tcPr>
          <w:p>
            <w:pPr>
              <w:jc w:val="center"/>
            </w:pPr>
            <w:r>
              <w:rPr>
                <w:rFonts w:ascii="宋体" w:hAnsi="宋体" w:eastAsia="宋体"/>
                <w:b w:val="0"/>
                <w:sz w:val="18"/>
              </w:rPr>
              <w:t>10</w:t>
            </w:r>
          </w:p>
        </w:tc>
        <w:tc>
          <w:tcPr>
            <w:tcW w:type="dxa" w:w="1881"/>
            <w:tcMar>
              <w:top w:w="30" w:type="dxa"/>
              <w:bottom w:w="30" w:type="dxa"/>
              <w:left w:w="60" w:type="dxa"/>
              <w:right w:w="60" w:type="dxa"/>
            </w:tcMar>
          </w:tcPr>
          <w:p>
            <w:pPr>
              <w:jc w:val="center"/>
            </w:pPr>
            <w:r>
              <w:rPr>
                <w:rFonts w:ascii="宋体" w:hAnsi="宋体" w:eastAsia="宋体"/>
                <w:b w:val="0"/>
                <w:sz w:val="18"/>
              </w:rPr>
              <w:t>30</w:t>
            </w:r>
          </w:p>
        </w:tc>
        <w:tc>
          <w:tcPr>
            <w:tcW w:type="dxa" w:w="1881"/>
            <w:tcMar>
              <w:top w:w="30" w:type="dxa"/>
              <w:bottom w:w="30" w:type="dxa"/>
              <w:left w:w="60" w:type="dxa"/>
              <w:right w:w="60" w:type="dxa"/>
            </w:tcMar>
          </w:tcPr>
          <w:p>
            <w:pPr>
              <w:jc w:val="center"/>
            </w:pPr>
            <w:r>
              <w:rPr>
                <w:rFonts w:ascii="宋体" w:hAnsi="宋体" w:eastAsia="宋体"/>
                <w:b w:val="0"/>
                <w:sz w:val="18"/>
              </w:rPr>
              <w:t>⟳ 进行中</w:t>
            </w:r>
          </w:p>
        </w:tc>
      </w:tr>
      <w:tr>
        <w:tc>
          <w:tcPr>
            <w:tcW w:type="dxa" w:w="1881"/>
            <w:tcMar>
              <w:top w:w="30" w:type="dxa"/>
              <w:bottom w:w="30" w:type="dxa"/>
              <w:left w:w="60" w:type="dxa"/>
              <w:right w:w="60" w:type="dxa"/>
            </w:tcMar>
          </w:tcPr>
          <w:p>
            <w:pPr>
              <w:jc w:val="center"/>
            </w:pPr>
            <w:r>
              <w:rPr>
                <w:rFonts w:ascii="宋体" w:hAnsi="宋体" w:eastAsia="宋体"/>
                <w:b w:val="0"/>
                <w:sz w:val="18"/>
              </w:rPr>
              <w:t>E7</w:t>
            </w:r>
          </w:p>
        </w:tc>
        <w:tc>
          <w:tcPr>
            <w:tcW w:type="dxa" w:w="1881"/>
            <w:tcMar>
              <w:top w:w="30" w:type="dxa"/>
              <w:bottom w:w="30" w:type="dxa"/>
              <w:left w:w="60" w:type="dxa"/>
              <w:right w:w="60" w:type="dxa"/>
            </w:tcMar>
          </w:tcPr>
          <w:p>
            <w:pPr>
              <w:jc w:val="center"/>
            </w:pPr>
            <w:r>
              <w:rPr>
                <w:rFonts w:ascii="宋体" w:hAnsi="宋体" w:eastAsia="宋体"/>
                <w:b w:val="0"/>
                <w:sz w:val="18"/>
              </w:rPr>
              <w:t>预训练迁移收益？</w:t>
            </w:r>
          </w:p>
        </w:tc>
        <w:tc>
          <w:tcPr>
            <w:tcW w:type="dxa" w:w="1881"/>
            <w:tcMar>
              <w:top w:w="30" w:type="dxa"/>
              <w:bottom w:w="30" w:type="dxa"/>
              <w:left w:w="60" w:type="dxa"/>
              <w:right w:w="60" w:type="dxa"/>
            </w:tcMar>
          </w:tcPr>
          <w:p>
            <w:pPr>
              <w:jc w:val="center"/>
            </w:pPr>
            <w:r>
              <w:rPr>
                <w:rFonts w:ascii="宋体" w:hAnsi="宋体" w:eastAsia="宋体"/>
                <w:b w:val="0"/>
                <w:sz w:val="18"/>
              </w:rPr>
              <w:t>6</w:t>
            </w:r>
          </w:p>
        </w:tc>
        <w:tc>
          <w:tcPr>
            <w:tcW w:type="dxa" w:w="1881"/>
            <w:tcMar>
              <w:top w:w="30" w:type="dxa"/>
              <w:bottom w:w="30" w:type="dxa"/>
              <w:left w:w="60" w:type="dxa"/>
              <w:right w:w="60" w:type="dxa"/>
            </w:tcMar>
          </w:tcPr>
          <w:p>
            <w:pPr>
              <w:jc w:val="center"/>
            </w:pPr>
            <w:r>
              <w:rPr>
                <w:rFonts w:ascii="宋体" w:hAnsi="宋体" w:eastAsia="宋体"/>
                <w:b w:val="0"/>
                <w:sz w:val="18"/>
              </w:rPr>
              <w:t>18</w:t>
            </w:r>
          </w:p>
        </w:tc>
        <w:tc>
          <w:tcPr>
            <w:tcW w:type="dxa" w:w="1881"/>
            <w:tcMar>
              <w:top w:w="30" w:type="dxa"/>
              <w:bottom w:w="30" w:type="dxa"/>
              <w:left w:w="60" w:type="dxa"/>
              <w:right w:w="60" w:type="dxa"/>
            </w:tcMar>
          </w:tcPr>
          <w:p>
            <w:pPr>
              <w:jc w:val="center"/>
            </w:pPr>
            <w:r>
              <w:rPr>
                <w:rFonts w:ascii="宋体" w:hAnsi="宋体" w:eastAsia="宋体"/>
                <w:b w:val="0"/>
                <w:sz w:val="18"/>
              </w:rPr>
              <w:t>⟳ 进行中</w:t>
            </w:r>
          </w:p>
        </w:tc>
      </w:tr>
      <w:tr>
        <w:tc>
          <w:tcPr>
            <w:tcW w:type="dxa" w:w="1881"/>
            <w:tcMar>
              <w:top w:w="30" w:type="dxa"/>
              <w:bottom w:w="30" w:type="dxa"/>
              <w:left w:w="60" w:type="dxa"/>
              <w:right w:w="60" w:type="dxa"/>
            </w:tcMar>
          </w:tcPr>
          <w:p>
            <w:pPr>
              <w:jc w:val="center"/>
            </w:pPr>
            <w:r>
              <w:rPr>
                <w:rFonts w:ascii="宋体" w:hAnsi="宋体" w:eastAsia="宋体"/>
                <w:b w:val="0"/>
                <w:sz w:val="18"/>
              </w:rPr>
              <w:t>合计</w:t>
            </w:r>
          </w:p>
        </w:tc>
        <w:tc>
          <w:tcPr>
            <w:tcW w:type="dxa" w:w="1881"/>
            <w:tcMar>
              <w:top w:w="30" w:type="dxa"/>
              <w:bottom w:w="30" w:type="dxa"/>
              <w:left w:w="60" w:type="dxa"/>
              <w:right w:w="60" w:type="dxa"/>
            </w:tcMar>
          </w:tcPr>
          <w:p>
            <w:pPr>
              <w:jc w:val="center"/>
            </w:pPr>
            <w:r>
              <w:rPr>
                <w:rFonts w:ascii="宋体" w:hAnsi="宋体" w:eastAsia="宋体"/>
                <w:b w:val="0"/>
                <w:sz w:val="18"/>
              </w:rPr>
            </w:r>
          </w:p>
        </w:tc>
        <w:tc>
          <w:tcPr>
            <w:tcW w:type="dxa" w:w="1881"/>
            <w:tcMar>
              <w:top w:w="30" w:type="dxa"/>
              <w:bottom w:w="30" w:type="dxa"/>
              <w:left w:w="60" w:type="dxa"/>
              <w:right w:w="60" w:type="dxa"/>
            </w:tcMar>
          </w:tcPr>
          <w:p>
            <w:pPr>
              <w:jc w:val="center"/>
            </w:pPr>
            <w:r>
              <w:rPr>
                <w:rFonts w:ascii="宋体" w:hAnsi="宋体" w:eastAsia="宋体"/>
                <w:b w:val="0"/>
                <w:sz w:val="18"/>
              </w:rPr>
              <w:t>67</w:t>
            </w:r>
          </w:p>
        </w:tc>
        <w:tc>
          <w:tcPr>
            <w:tcW w:type="dxa" w:w="1881"/>
            <w:tcMar>
              <w:top w:w="30" w:type="dxa"/>
              <w:bottom w:w="30" w:type="dxa"/>
              <w:left w:w="60" w:type="dxa"/>
              <w:right w:w="60" w:type="dxa"/>
            </w:tcMar>
          </w:tcPr>
          <w:p>
            <w:pPr>
              <w:jc w:val="center"/>
            </w:pPr>
            <w:r>
              <w:rPr>
                <w:rFonts w:ascii="宋体" w:hAnsi="宋体" w:eastAsia="宋体"/>
                <w:b w:val="0"/>
                <w:sz w:val="18"/>
              </w:rPr>
              <w:t>165</w:t>
            </w:r>
          </w:p>
        </w:tc>
        <w:tc>
          <w:tcPr>
            <w:tcW w:type="dxa" w:w="1881"/>
            <w:tcMar>
              <w:top w:w="30" w:type="dxa"/>
              <w:bottom w:w="30" w:type="dxa"/>
              <w:left w:w="60" w:type="dxa"/>
              <w:right w:w="60" w:type="dxa"/>
            </w:tcMar>
          </w:tcPr>
          <w:p>
            <w:pPr>
              <w:jc w:val="center"/>
            </w:pPr>
            <w:r>
              <w:rPr>
                <w:rFonts w:ascii="宋体" w:hAnsi="宋体" w:eastAsia="宋体"/>
                <w:b w:val="0"/>
                <w:sz w:val="18"/>
              </w:rPr>
            </w:r>
          </w:p>
        </w:tc>
      </w:tr>
    </w:tbl>
    <w:p/>
    <w:p>
      <w:pPr>
        <w:pStyle w:val="Heading2"/>
      </w:pPr>
      <w:r>
        <w:t>4.1 E1：域内池化基线</w:t>
      </w:r>
    </w:p>
    <w:p>
      <w:r>
        <w:rPr>
          <w:b w:val="0"/>
          <w:i w:val="0"/>
          <w:sz w:val="22"/>
        </w:rPr>
        <w:t>目标：在匹配参数预算下，为每个数据集确定最优池化策略，作为所有后续实验的统一基线。</w:t>
      </w:r>
    </w:p>
    <w:p>
      <w:pPr>
        <w:spacing w:after="80"/>
        <w:jc w:val="center"/>
      </w:pPr>
      <w:r>
        <w:rPr>
          <w:b/>
          <w:i w:val="0"/>
          <w:sz w:val="20"/>
        </w:rPr>
        <w:t>表3. E1：域内池化比较（3种子均值±标准差）。粗体 = 各数据集最优。</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Mar>
              <w:top w:w="30" w:type="dxa"/>
              <w:bottom w:w="30" w:type="dxa"/>
              <w:left w:w="60" w:type="dxa"/>
              <w:right w:w="60" w:type="dxa"/>
            </w:tcMar>
            <w:shd w:fill="D9E2F3" w:val="clear"/>
          </w:tcPr>
          <w:p>
            <w:pPr>
              <w:jc w:val="center"/>
            </w:pPr>
            <w:r>
              <w:rPr>
                <w:rFonts w:ascii="黑体" w:hAnsi="黑体" w:eastAsia="黑体"/>
                <w:b/>
                <w:sz w:val="18"/>
              </w:rPr>
              <w:t>ID</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数据集（类别数）</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池化策略</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WA (%)</w:t>
            </w:r>
          </w:p>
        </w:tc>
        <w:tc>
          <w:tcPr>
            <w:tcW w:type="dxa" w:w="1881"/>
            <w:tcMar>
              <w:top w:w="30" w:type="dxa"/>
              <w:bottom w:w="30" w:type="dxa"/>
              <w:left w:w="60" w:type="dxa"/>
              <w:right w:w="60" w:type="dxa"/>
            </w:tcMar>
            <w:shd w:fill="D9E2F3" w:val="clear"/>
          </w:tcPr>
          <w:p>
            <w:pPr>
              <w:jc w:val="center"/>
            </w:pPr>
            <w:r>
              <w:rPr>
                <w:rFonts w:ascii="黑体" w:hAnsi="黑体" w:eastAsia="黑体"/>
                <w:b/>
                <w:sz w:val="18"/>
              </w:rPr>
              <w:t>UAR (%)</w:t>
            </w:r>
          </w:p>
        </w:tc>
      </w:tr>
      <w:tr>
        <w:tc>
          <w:tcPr>
            <w:tcW w:type="dxa" w:w="1881"/>
            <w:tcMar>
              <w:top w:w="30" w:type="dxa"/>
              <w:bottom w:w="30" w:type="dxa"/>
              <w:left w:w="60" w:type="dxa"/>
              <w:right w:w="60" w:type="dxa"/>
            </w:tcMar>
          </w:tcPr>
          <w:p>
            <w:pPr>
              <w:jc w:val="center"/>
            </w:pPr>
            <w:r>
              <w:rPr>
                <w:rFonts w:ascii="宋体" w:hAnsi="宋体" w:eastAsia="宋体"/>
                <w:b w:val="0"/>
                <w:sz w:val="18"/>
              </w:rPr>
              <w:t>E1-01</w:t>
            </w:r>
          </w:p>
        </w:tc>
        <w:tc>
          <w:tcPr>
            <w:tcW w:type="dxa" w:w="1881"/>
            <w:tcMar>
              <w:top w:w="30" w:type="dxa"/>
              <w:bottom w:w="30" w:type="dxa"/>
              <w:left w:w="60" w:type="dxa"/>
              <w:right w:w="60" w:type="dxa"/>
            </w:tcMar>
          </w:tcPr>
          <w:p>
            <w:pPr>
              <w:jc w:val="center"/>
            </w:pPr>
            <w:r>
              <w:rPr>
                <w:rFonts w:ascii="宋体" w:hAnsi="宋体" w:eastAsia="宋体"/>
                <w:b w:val="0"/>
                <w:sz w:val="18"/>
              </w:rPr>
              <w:t>C-BESD (6)</w:t>
            </w:r>
          </w:p>
        </w:tc>
        <w:tc>
          <w:tcPr>
            <w:tcW w:type="dxa" w:w="1881"/>
            <w:tcMar>
              <w:top w:w="30" w:type="dxa"/>
              <w:bottom w:w="30" w:type="dxa"/>
              <w:left w:w="60" w:type="dxa"/>
              <w:right w:w="60" w:type="dxa"/>
            </w:tcMar>
          </w:tcPr>
          <w:p>
            <w:pPr>
              <w:jc w:val="center"/>
            </w:pPr>
            <w:r>
              <w:rPr>
                <w:rFonts w:ascii="宋体" w:hAnsi="宋体" w:eastAsia="宋体"/>
                <w:b w:val="0"/>
                <w:sz w:val="18"/>
              </w:rPr>
              <w:t>均值</w:t>
            </w:r>
          </w:p>
        </w:tc>
        <w:tc>
          <w:tcPr>
            <w:tcW w:type="dxa" w:w="1881"/>
            <w:tcMar>
              <w:top w:w="30" w:type="dxa"/>
              <w:bottom w:w="30" w:type="dxa"/>
              <w:left w:w="60" w:type="dxa"/>
              <w:right w:w="60" w:type="dxa"/>
            </w:tcMar>
          </w:tcPr>
          <w:p>
            <w:pPr>
              <w:jc w:val="center"/>
            </w:pPr>
            <w:r>
              <w:rPr>
                <w:rFonts w:ascii="宋体" w:hAnsi="宋体" w:eastAsia="宋体"/>
                <w:b w:val="0"/>
                <w:sz w:val="18"/>
              </w:rPr>
              <w:t>79.23 ± 0.81</w:t>
            </w:r>
          </w:p>
        </w:tc>
        <w:tc>
          <w:tcPr>
            <w:tcW w:type="dxa" w:w="1881"/>
            <w:tcMar>
              <w:top w:w="30" w:type="dxa"/>
              <w:bottom w:w="30" w:type="dxa"/>
              <w:left w:w="60" w:type="dxa"/>
              <w:right w:w="60" w:type="dxa"/>
            </w:tcMar>
          </w:tcPr>
          <w:p>
            <w:pPr>
              <w:jc w:val="center"/>
            </w:pPr>
            <w:r>
              <w:rPr>
                <w:rFonts w:ascii="宋体" w:hAnsi="宋体" w:eastAsia="宋体"/>
                <w:b w:val="0"/>
                <w:sz w:val="18"/>
              </w:rPr>
              <w:t>79.19 ± 0.76</w:t>
            </w:r>
          </w:p>
        </w:tc>
      </w:tr>
      <w:tr>
        <w:tc>
          <w:tcPr>
            <w:tcW w:type="dxa" w:w="1881"/>
            <w:tcMar>
              <w:top w:w="30" w:type="dxa"/>
              <w:bottom w:w="30" w:type="dxa"/>
              <w:left w:w="60" w:type="dxa"/>
              <w:right w:w="60" w:type="dxa"/>
            </w:tcMar>
          </w:tcPr>
          <w:p>
            <w:pPr>
              <w:jc w:val="center"/>
            </w:pPr>
            <w:r>
              <w:rPr>
                <w:rFonts w:ascii="宋体" w:hAnsi="宋体" w:eastAsia="宋体"/>
                <w:b w:val="0"/>
                <w:sz w:val="18"/>
              </w:rPr>
              <w:t>E1-02</w:t>
            </w:r>
          </w:p>
        </w:tc>
        <w:tc>
          <w:tcPr>
            <w:tcW w:type="dxa" w:w="1881"/>
            <w:tcMar>
              <w:top w:w="30" w:type="dxa"/>
              <w:bottom w:w="30" w:type="dxa"/>
              <w:left w:w="60" w:type="dxa"/>
              <w:right w:w="60" w:type="dxa"/>
            </w:tcMar>
          </w:tcPr>
          <w:p>
            <w:pPr>
              <w:jc w:val="center"/>
            </w:pPr>
            <w:r>
              <w:rPr>
                <w:rFonts w:ascii="宋体" w:hAnsi="宋体" w:eastAsia="宋体"/>
                <w:b w:val="0"/>
                <w:sz w:val="18"/>
              </w:rPr>
              <w:t>C-BESD (6)</w:t>
            </w:r>
          </w:p>
        </w:tc>
        <w:tc>
          <w:tcPr>
            <w:tcW w:type="dxa" w:w="1881"/>
            <w:tcMar>
              <w:top w:w="30" w:type="dxa"/>
              <w:bottom w:w="30" w:type="dxa"/>
              <w:left w:w="60" w:type="dxa"/>
              <w:right w:w="60" w:type="dxa"/>
            </w:tcMar>
          </w:tcPr>
          <w:p>
            <w:pPr>
              <w:jc w:val="center"/>
            </w:pPr>
            <w:r>
              <w:rPr>
                <w:rFonts w:ascii="宋体" w:hAnsi="宋体" w:eastAsia="宋体"/>
                <w:b w:val="0"/>
                <w:sz w:val="18"/>
              </w:rPr>
              <w:t>自注意力</w:t>
            </w:r>
          </w:p>
        </w:tc>
        <w:tc>
          <w:tcPr>
            <w:tcW w:type="dxa" w:w="1881"/>
            <w:tcMar>
              <w:top w:w="30" w:type="dxa"/>
              <w:bottom w:w="30" w:type="dxa"/>
              <w:left w:w="60" w:type="dxa"/>
              <w:right w:w="60" w:type="dxa"/>
            </w:tcMar>
          </w:tcPr>
          <w:p>
            <w:pPr>
              <w:jc w:val="center"/>
            </w:pPr>
            <w:r>
              <w:rPr>
                <w:rFonts w:ascii="宋体" w:hAnsi="宋体" w:eastAsia="宋体"/>
                <w:b w:val="0"/>
                <w:sz w:val="18"/>
              </w:rPr>
              <w:t>91.87 ± 1.28</w:t>
            </w:r>
          </w:p>
        </w:tc>
        <w:tc>
          <w:tcPr>
            <w:tcW w:type="dxa" w:w="1881"/>
            <w:tcMar>
              <w:top w:w="30" w:type="dxa"/>
              <w:bottom w:w="30" w:type="dxa"/>
              <w:left w:w="60" w:type="dxa"/>
              <w:right w:w="60" w:type="dxa"/>
            </w:tcMar>
          </w:tcPr>
          <w:p>
            <w:pPr>
              <w:jc w:val="center"/>
            </w:pPr>
            <w:r>
              <w:rPr>
                <w:rFonts w:ascii="宋体" w:hAnsi="宋体" w:eastAsia="宋体"/>
                <w:b w:val="0"/>
                <w:sz w:val="18"/>
              </w:rPr>
              <w:t>91.85 ± 1.26</w:t>
            </w:r>
          </w:p>
        </w:tc>
      </w:tr>
      <w:tr>
        <w:tc>
          <w:tcPr>
            <w:tcW w:type="dxa" w:w="1881"/>
            <w:tcMar>
              <w:top w:w="30" w:type="dxa"/>
              <w:bottom w:w="30" w:type="dxa"/>
              <w:left w:w="60" w:type="dxa"/>
              <w:right w:w="60" w:type="dxa"/>
            </w:tcMar>
          </w:tcPr>
          <w:p>
            <w:pPr>
              <w:jc w:val="center"/>
            </w:pPr>
            <w:r>
              <w:rPr>
                <w:rFonts w:ascii="宋体" w:hAnsi="宋体" w:eastAsia="宋体"/>
                <w:b w:val="0"/>
                <w:sz w:val="18"/>
              </w:rPr>
              <w:t>E1-03</w:t>
            </w:r>
          </w:p>
        </w:tc>
        <w:tc>
          <w:tcPr>
            <w:tcW w:type="dxa" w:w="1881"/>
            <w:tcMar>
              <w:top w:w="30" w:type="dxa"/>
              <w:bottom w:w="30" w:type="dxa"/>
              <w:left w:w="60" w:type="dxa"/>
              <w:right w:w="60" w:type="dxa"/>
            </w:tcMar>
          </w:tcPr>
          <w:p>
            <w:pPr>
              <w:jc w:val="center"/>
            </w:pPr>
            <w:r>
              <w:rPr>
                <w:rFonts w:ascii="宋体" w:hAnsi="宋体" w:eastAsia="宋体"/>
                <w:b w:val="0"/>
                <w:sz w:val="18"/>
              </w:rPr>
              <w:t>C-BESD (6)</w:t>
            </w:r>
          </w:p>
        </w:tc>
        <w:tc>
          <w:tcPr>
            <w:tcW w:type="dxa" w:w="1881"/>
            <w:tcMar>
              <w:top w:w="30" w:type="dxa"/>
              <w:bottom w:w="30" w:type="dxa"/>
              <w:left w:w="60" w:type="dxa"/>
              <w:right w:w="60" w:type="dxa"/>
            </w:tcMar>
          </w:tcPr>
          <w:p>
            <w:pPr>
              <w:jc w:val="center"/>
            </w:pPr>
            <w:r>
              <w:rPr>
                <w:rFonts w:ascii="宋体" w:hAnsi="宋体" w:eastAsia="宋体"/>
                <w:b w:val="0"/>
                <w:sz w:val="18"/>
              </w:rPr>
              <w:t>韵律引导</w:t>
            </w:r>
          </w:p>
        </w:tc>
        <w:tc>
          <w:tcPr>
            <w:tcW w:type="dxa" w:w="1881"/>
            <w:tcMar>
              <w:top w:w="30" w:type="dxa"/>
              <w:bottom w:w="30" w:type="dxa"/>
              <w:left w:w="60" w:type="dxa"/>
              <w:right w:w="60" w:type="dxa"/>
            </w:tcMar>
          </w:tcPr>
          <w:p>
            <w:pPr>
              <w:jc w:val="center"/>
            </w:pPr>
            <w:r>
              <w:rPr>
                <w:rFonts w:ascii="宋体" w:hAnsi="宋体" w:eastAsia="宋体"/>
                <w:b w:val="0"/>
                <w:sz w:val="18"/>
              </w:rPr>
              <w:t>91.86 ± 0.93</w:t>
            </w:r>
          </w:p>
        </w:tc>
        <w:tc>
          <w:tcPr>
            <w:tcW w:type="dxa" w:w="1881"/>
            <w:tcMar>
              <w:top w:w="30" w:type="dxa"/>
              <w:bottom w:w="30" w:type="dxa"/>
              <w:left w:w="60" w:type="dxa"/>
              <w:right w:w="60" w:type="dxa"/>
            </w:tcMar>
          </w:tcPr>
          <w:p>
            <w:pPr>
              <w:jc w:val="center"/>
            </w:pPr>
            <w:r>
              <w:rPr>
                <w:rFonts w:ascii="宋体" w:hAnsi="宋体" w:eastAsia="宋体"/>
                <w:b w:val="0"/>
                <w:sz w:val="18"/>
              </w:rPr>
              <w:t>91.84 ± 0.92</w:t>
            </w:r>
          </w:p>
        </w:tc>
      </w:tr>
      <w:tr>
        <w:tc>
          <w:tcPr>
            <w:tcW w:type="dxa" w:w="1881"/>
            <w:tcMar>
              <w:top w:w="30" w:type="dxa"/>
              <w:bottom w:w="30" w:type="dxa"/>
              <w:left w:w="60" w:type="dxa"/>
              <w:right w:w="60" w:type="dxa"/>
            </w:tcMar>
          </w:tcPr>
          <w:p>
            <w:pPr>
              <w:jc w:val="center"/>
            </w:pPr>
            <w:r>
              <w:rPr>
                <w:rFonts w:ascii="宋体" w:hAnsi="宋体" w:eastAsia="宋体"/>
                <w:b w:val="0"/>
                <w:sz w:val="18"/>
              </w:rPr>
              <w:t>E1-04</w:t>
            </w:r>
          </w:p>
        </w:tc>
        <w:tc>
          <w:tcPr>
            <w:tcW w:type="dxa" w:w="1881"/>
            <w:tcMar>
              <w:top w:w="30" w:type="dxa"/>
              <w:bottom w:w="30" w:type="dxa"/>
              <w:left w:w="60" w:type="dxa"/>
              <w:right w:w="60" w:type="dxa"/>
            </w:tcMar>
          </w:tcPr>
          <w:p>
            <w:pPr>
              <w:jc w:val="center"/>
            </w:pPr>
            <w:r>
              <w:rPr>
                <w:rFonts w:ascii="宋体" w:hAnsi="宋体" w:eastAsia="宋体"/>
                <w:b w:val="0"/>
                <w:sz w:val="18"/>
              </w:rPr>
              <w:t>FAU (4)</w:t>
            </w:r>
          </w:p>
        </w:tc>
        <w:tc>
          <w:tcPr>
            <w:tcW w:type="dxa" w:w="1881"/>
            <w:tcMar>
              <w:top w:w="30" w:type="dxa"/>
              <w:bottom w:w="30" w:type="dxa"/>
              <w:left w:w="60" w:type="dxa"/>
              <w:right w:w="60" w:type="dxa"/>
            </w:tcMar>
          </w:tcPr>
          <w:p>
            <w:pPr>
              <w:jc w:val="center"/>
            </w:pPr>
            <w:r>
              <w:rPr>
                <w:rFonts w:ascii="宋体" w:hAnsi="宋体" w:eastAsia="宋体"/>
                <w:b w:val="0"/>
                <w:sz w:val="18"/>
              </w:rPr>
              <w:t>均值</w:t>
            </w:r>
          </w:p>
        </w:tc>
        <w:tc>
          <w:tcPr>
            <w:tcW w:type="dxa" w:w="1881"/>
            <w:tcMar>
              <w:top w:w="30" w:type="dxa"/>
              <w:bottom w:w="30" w:type="dxa"/>
              <w:left w:w="60" w:type="dxa"/>
              <w:right w:w="60" w:type="dxa"/>
            </w:tcMar>
          </w:tcPr>
          <w:p>
            <w:pPr>
              <w:jc w:val="center"/>
            </w:pPr>
            <w:r>
              <w:rPr>
                <w:rFonts w:ascii="宋体" w:hAnsi="宋体" w:eastAsia="宋体"/>
                <w:b w:val="0"/>
                <w:sz w:val="18"/>
              </w:rPr>
              <w:t>66.94 ± 1.08</w:t>
            </w:r>
          </w:p>
        </w:tc>
        <w:tc>
          <w:tcPr>
            <w:tcW w:type="dxa" w:w="1881"/>
            <w:tcMar>
              <w:top w:w="30" w:type="dxa"/>
              <w:bottom w:w="30" w:type="dxa"/>
              <w:left w:w="60" w:type="dxa"/>
              <w:right w:w="60" w:type="dxa"/>
            </w:tcMar>
          </w:tcPr>
          <w:p>
            <w:pPr>
              <w:jc w:val="center"/>
            </w:pPr>
            <w:r>
              <w:rPr>
                <w:rFonts w:ascii="宋体" w:hAnsi="宋体" w:eastAsia="宋体"/>
                <w:b w:val="0"/>
                <w:sz w:val="18"/>
              </w:rPr>
              <w:t>39.33 ± 0.44</w:t>
            </w:r>
          </w:p>
        </w:tc>
      </w:tr>
      <w:tr>
        <w:tc>
          <w:tcPr>
            <w:tcW w:type="dxa" w:w="1881"/>
            <w:tcMar>
              <w:top w:w="30" w:type="dxa"/>
              <w:bottom w:w="30" w:type="dxa"/>
              <w:left w:w="60" w:type="dxa"/>
              <w:right w:w="60" w:type="dxa"/>
            </w:tcMar>
          </w:tcPr>
          <w:p>
            <w:pPr>
              <w:jc w:val="center"/>
            </w:pPr>
            <w:r>
              <w:rPr>
                <w:rFonts w:ascii="宋体" w:hAnsi="宋体" w:eastAsia="宋体"/>
                <w:b w:val="0"/>
                <w:sz w:val="18"/>
              </w:rPr>
              <w:t>E1-05</w:t>
            </w:r>
          </w:p>
        </w:tc>
        <w:tc>
          <w:tcPr>
            <w:tcW w:type="dxa" w:w="1881"/>
            <w:tcMar>
              <w:top w:w="30" w:type="dxa"/>
              <w:bottom w:w="30" w:type="dxa"/>
              <w:left w:w="60" w:type="dxa"/>
              <w:right w:w="60" w:type="dxa"/>
            </w:tcMar>
          </w:tcPr>
          <w:p>
            <w:pPr>
              <w:jc w:val="center"/>
            </w:pPr>
            <w:r>
              <w:rPr>
                <w:rFonts w:ascii="宋体" w:hAnsi="宋体" w:eastAsia="宋体"/>
                <w:b w:val="0"/>
                <w:sz w:val="18"/>
              </w:rPr>
              <w:t>FAU (4)</w:t>
            </w:r>
          </w:p>
        </w:tc>
        <w:tc>
          <w:tcPr>
            <w:tcW w:type="dxa" w:w="1881"/>
            <w:tcMar>
              <w:top w:w="30" w:type="dxa"/>
              <w:bottom w:w="30" w:type="dxa"/>
              <w:left w:w="60" w:type="dxa"/>
              <w:right w:w="60" w:type="dxa"/>
            </w:tcMar>
          </w:tcPr>
          <w:p>
            <w:pPr>
              <w:jc w:val="center"/>
            </w:pPr>
            <w:r>
              <w:rPr>
                <w:rFonts w:ascii="宋体" w:hAnsi="宋体" w:eastAsia="宋体"/>
                <w:b w:val="0"/>
                <w:sz w:val="18"/>
              </w:rPr>
              <w:t>自注意力</w:t>
            </w:r>
          </w:p>
        </w:tc>
        <w:tc>
          <w:tcPr>
            <w:tcW w:type="dxa" w:w="1881"/>
            <w:tcMar>
              <w:top w:w="30" w:type="dxa"/>
              <w:bottom w:w="30" w:type="dxa"/>
              <w:left w:w="60" w:type="dxa"/>
              <w:right w:w="60" w:type="dxa"/>
            </w:tcMar>
          </w:tcPr>
          <w:p>
            <w:pPr>
              <w:jc w:val="center"/>
            </w:pPr>
            <w:r>
              <w:rPr>
                <w:rFonts w:ascii="宋体" w:hAnsi="宋体" w:eastAsia="宋体"/>
                <w:b w:val="0"/>
                <w:sz w:val="18"/>
              </w:rPr>
              <w:t>67.05 ± 0.55</w:t>
            </w:r>
          </w:p>
        </w:tc>
        <w:tc>
          <w:tcPr>
            <w:tcW w:type="dxa" w:w="1881"/>
            <w:tcMar>
              <w:top w:w="30" w:type="dxa"/>
              <w:bottom w:w="30" w:type="dxa"/>
              <w:left w:w="60" w:type="dxa"/>
              <w:right w:w="60" w:type="dxa"/>
            </w:tcMar>
          </w:tcPr>
          <w:p>
            <w:pPr>
              <w:jc w:val="center"/>
            </w:pPr>
            <w:r>
              <w:rPr>
                <w:rFonts w:ascii="宋体" w:hAnsi="宋体" w:eastAsia="宋体"/>
                <w:b w:val="0"/>
                <w:sz w:val="18"/>
              </w:rPr>
              <w:t>42.92 ± 1.51</w:t>
            </w:r>
          </w:p>
        </w:tc>
      </w:tr>
      <w:tr>
        <w:tc>
          <w:tcPr>
            <w:tcW w:type="dxa" w:w="1881"/>
            <w:tcMar>
              <w:top w:w="30" w:type="dxa"/>
              <w:bottom w:w="30" w:type="dxa"/>
              <w:left w:w="60" w:type="dxa"/>
              <w:right w:w="60" w:type="dxa"/>
            </w:tcMar>
          </w:tcPr>
          <w:p>
            <w:pPr>
              <w:jc w:val="center"/>
            </w:pPr>
            <w:r>
              <w:rPr>
                <w:rFonts w:ascii="宋体" w:hAnsi="宋体" w:eastAsia="宋体"/>
                <w:b w:val="0"/>
                <w:sz w:val="18"/>
              </w:rPr>
              <w:t>E1-06</w:t>
            </w:r>
          </w:p>
        </w:tc>
        <w:tc>
          <w:tcPr>
            <w:tcW w:type="dxa" w:w="1881"/>
            <w:tcMar>
              <w:top w:w="30" w:type="dxa"/>
              <w:bottom w:w="30" w:type="dxa"/>
              <w:left w:w="60" w:type="dxa"/>
              <w:right w:w="60" w:type="dxa"/>
            </w:tcMar>
          </w:tcPr>
          <w:p>
            <w:pPr>
              <w:jc w:val="center"/>
            </w:pPr>
            <w:r>
              <w:rPr>
                <w:rFonts w:ascii="宋体" w:hAnsi="宋体" w:eastAsia="宋体"/>
                <w:b w:val="0"/>
                <w:sz w:val="18"/>
              </w:rPr>
              <w:t>FAU (4)</w:t>
            </w:r>
          </w:p>
        </w:tc>
        <w:tc>
          <w:tcPr>
            <w:tcW w:type="dxa" w:w="1881"/>
            <w:tcMar>
              <w:top w:w="30" w:type="dxa"/>
              <w:bottom w:w="30" w:type="dxa"/>
              <w:left w:w="60" w:type="dxa"/>
              <w:right w:w="60" w:type="dxa"/>
            </w:tcMar>
          </w:tcPr>
          <w:p>
            <w:pPr>
              <w:jc w:val="center"/>
            </w:pPr>
            <w:r>
              <w:rPr>
                <w:rFonts w:ascii="宋体" w:hAnsi="宋体" w:eastAsia="宋体"/>
                <w:b w:val="0"/>
                <w:sz w:val="18"/>
              </w:rPr>
              <w:t>韵律引导</w:t>
            </w:r>
          </w:p>
        </w:tc>
        <w:tc>
          <w:tcPr>
            <w:tcW w:type="dxa" w:w="1881"/>
            <w:tcMar>
              <w:top w:w="30" w:type="dxa"/>
              <w:bottom w:w="30" w:type="dxa"/>
              <w:left w:w="60" w:type="dxa"/>
              <w:right w:w="60" w:type="dxa"/>
            </w:tcMar>
          </w:tcPr>
          <w:p>
            <w:pPr>
              <w:jc w:val="center"/>
            </w:pPr>
            <w:r>
              <w:rPr>
                <w:rFonts w:ascii="宋体" w:hAnsi="宋体" w:eastAsia="宋体"/>
                <w:b w:val="0"/>
                <w:sz w:val="18"/>
              </w:rPr>
              <w:t>66.77 ± 0.97</w:t>
            </w:r>
          </w:p>
        </w:tc>
        <w:tc>
          <w:tcPr>
            <w:tcW w:type="dxa" w:w="1881"/>
            <w:tcMar>
              <w:top w:w="30" w:type="dxa"/>
              <w:bottom w:w="30" w:type="dxa"/>
              <w:left w:w="60" w:type="dxa"/>
              <w:right w:w="60" w:type="dxa"/>
            </w:tcMar>
          </w:tcPr>
          <w:p>
            <w:pPr>
              <w:jc w:val="center"/>
            </w:pPr>
            <w:r>
              <w:rPr>
                <w:rFonts w:ascii="宋体" w:hAnsi="宋体" w:eastAsia="宋体"/>
                <w:b w:val="0"/>
                <w:sz w:val="18"/>
              </w:rPr>
              <w:t>42.94 ± 1.30</w:t>
            </w:r>
          </w:p>
        </w:tc>
      </w:tr>
      <w:tr>
        <w:tc>
          <w:tcPr>
            <w:tcW w:type="dxa" w:w="1881"/>
            <w:tcMar>
              <w:top w:w="30" w:type="dxa"/>
              <w:bottom w:w="30" w:type="dxa"/>
              <w:left w:w="60" w:type="dxa"/>
              <w:right w:w="60" w:type="dxa"/>
            </w:tcMar>
          </w:tcPr>
          <w:p>
            <w:pPr>
              <w:jc w:val="center"/>
            </w:pPr>
            <w:r>
              <w:rPr>
                <w:rFonts w:ascii="宋体" w:hAnsi="宋体" w:eastAsia="宋体"/>
                <w:b w:val="0"/>
                <w:sz w:val="18"/>
              </w:rPr>
              <w:t>E1-07</w:t>
            </w:r>
          </w:p>
        </w:tc>
        <w:tc>
          <w:tcPr>
            <w:tcW w:type="dxa" w:w="1881"/>
            <w:tcMar>
              <w:top w:w="30" w:type="dxa"/>
              <w:bottom w:w="30" w:type="dxa"/>
              <w:left w:w="60" w:type="dxa"/>
              <w:right w:w="60" w:type="dxa"/>
            </w:tcMar>
          </w:tcPr>
          <w:p>
            <w:pPr>
              <w:jc w:val="center"/>
            </w:pPr>
            <w:r>
              <w:rPr>
                <w:rFonts w:ascii="宋体" w:hAnsi="宋体" w:eastAsia="宋体"/>
                <w:b w:val="0"/>
                <w:sz w:val="18"/>
              </w:rPr>
              <w:t>IEMOCAP (4)</w:t>
            </w:r>
          </w:p>
        </w:tc>
        <w:tc>
          <w:tcPr>
            <w:tcW w:type="dxa" w:w="1881"/>
            <w:tcMar>
              <w:top w:w="30" w:type="dxa"/>
              <w:bottom w:w="30" w:type="dxa"/>
              <w:left w:w="60" w:type="dxa"/>
              <w:right w:w="60" w:type="dxa"/>
            </w:tcMar>
          </w:tcPr>
          <w:p>
            <w:pPr>
              <w:jc w:val="center"/>
            </w:pPr>
            <w:r>
              <w:rPr>
                <w:rFonts w:ascii="宋体" w:hAnsi="宋体" w:eastAsia="宋体"/>
                <w:b w:val="0"/>
                <w:sz w:val="18"/>
              </w:rPr>
              <w:t>均值</w:t>
            </w:r>
          </w:p>
        </w:tc>
        <w:tc>
          <w:tcPr>
            <w:tcW w:type="dxa" w:w="1881"/>
            <w:tcMar>
              <w:top w:w="30" w:type="dxa"/>
              <w:bottom w:w="30" w:type="dxa"/>
              <w:left w:w="60" w:type="dxa"/>
              <w:right w:w="60" w:type="dxa"/>
            </w:tcMar>
          </w:tcPr>
          <w:p>
            <w:pPr>
              <w:jc w:val="center"/>
            </w:pPr>
            <w:r>
              <w:rPr>
                <w:rFonts w:ascii="宋体" w:hAnsi="宋体" w:eastAsia="宋体"/>
                <w:b w:val="0"/>
                <w:sz w:val="18"/>
              </w:rPr>
              <w:t>61.19 ± 0.62</w:t>
            </w:r>
          </w:p>
        </w:tc>
        <w:tc>
          <w:tcPr>
            <w:tcW w:type="dxa" w:w="1881"/>
            <w:tcMar>
              <w:top w:w="30" w:type="dxa"/>
              <w:bottom w:w="30" w:type="dxa"/>
              <w:left w:w="60" w:type="dxa"/>
              <w:right w:w="60" w:type="dxa"/>
            </w:tcMar>
          </w:tcPr>
          <w:p>
            <w:pPr>
              <w:jc w:val="center"/>
            </w:pPr>
            <w:r>
              <w:rPr>
                <w:rFonts w:ascii="宋体" w:hAnsi="宋体" w:eastAsia="宋体"/>
                <w:b w:val="0"/>
                <w:sz w:val="18"/>
              </w:rPr>
              <w:t>55.57 ± 1.48</w:t>
            </w:r>
          </w:p>
        </w:tc>
      </w:tr>
      <w:tr>
        <w:tc>
          <w:tcPr>
            <w:tcW w:type="dxa" w:w="1881"/>
            <w:tcMar>
              <w:top w:w="30" w:type="dxa"/>
              <w:bottom w:w="30" w:type="dxa"/>
              <w:left w:w="60" w:type="dxa"/>
              <w:right w:w="60" w:type="dxa"/>
            </w:tcMar>
          </w:tcPr>
          <w:p>
            <w:pPr>
              <w:jc w:val="center"/>
            </w:pPr>
            <w:r>
              <w:rPr>
                <w:rFonts w:ascii="宋体" w:hAnsi="宋体" w:eastAsia="宋体"/>
                <w:b w:val="0"/>
                <w:sz w:val="18"/>
              </w:rPr>
              <w:t>E1-08</w:t>
            </w:r>
          </w:p>
        </w:tc>
        <w:tc>
          <w:tcPr>
            <w:tcW w:type="dxa" w:w="1881"/>
            <w:tcMar>
              <w:top w:w="30" w:type="dxa"/>
              <w:bottom w:w="30" w:type="dxa"/>
              <w:left w:w="60" w:type="dxa"/>
              <w:right w:w="60" w:type="dxa"/>
            </w:tcMar>
          </w:tcPr>
          <w:p>
            <w:pPr>
              <w:jc w:val="center"/>
            </w:pPr>
            <w:r>
              <w:rPr>
                <w:rFonts w:ascii="宋体" w:hAnsi="宋体" w:eastAsia="宋体"/>
                <w:b w:val="0"/>
                <w:sz w:val="18"/>
              </w:rPr>
              <w:t>IEMOCAP (4)</w:t>
            </w:r>
          </w:p>
        </w:tc>
        <w:tc>
          <w:tcPr>
            <w:tcW w:type="dxa" w:w="1881"/>
            <w:tcMar>
              <w:top w:w="30" w:type="dxa"/>
              <w:bottom w:w="30" w:type="dxa"/>
              <w:left w:w="60" w:type="dxa"/>
              <w:right w:w="60" w:type="dxa"/>
            </w:tcMar>
          </w:tcPr>
          <w:p>
            <w:pPr>
              <w:jc w:val="center"/>
            </w:pPr>
            <w:r>
              <w:rPr>
                <w:rFonts w:ascii="宋体" w:hAnsi="宋体" w:eastAsia="宋体"/>
                <w:b w:val="0"/>
                <w:sz w:val="18"/>
              </w:rPr>
              <w:t>自注意力</w:t>
            </w:r>
          </w:p>
        </w:tc>
        <w:tc>
          <w:tcPr>
            <w:tcW w:type="dxa" w:w="1881"/>
            <w:tcMar>
              <w:top w:w="30" w:type="dxa"/>
              <w:bottom w:w="30" w:type="dxa"/>
              <w:left w:w="60" w:type="dxa"/>
              <w:right w:w="60" w:type="dxa"/>
            </w:tcMar>
          </w:tcPr>
          <w:p>
            <w:pPr>
              <w:jc w:val="center"/>
            </w:pPr>
            <w:r>
              <w:rPr>
                <w:rFonts w:ascii="宋体" w:hAnsi="宋体" w:eastAsia="宋体"/>
                <w:b w:val="0"/>
                <w:sz w:val="18"/>
              </w:rPr>
              <w:t>63.76 ± 0.43</w:t>
            </w:r>
          </w:p>
        </w:tc>
        <w:tc>
          <w:tcPr>
            <w:tcW w:type="dxa" w:w="1881"/>
            <w:tcMar>
              <w:top w:w="30" w:type="dxa"/>
              <w:bottom w:w="30" w:type="dxa"/>
              <w:left w:w="60" w:type="dxa"/>
              <w:right w:w="60" w:type="dxa"/>
            </w:tcMar>
          </w:tcPr>
          <w:p>
            <w:pPr>
              <w:jc w:val="center"/>
            </w:pPr>
            <w:r>
              <w:rPr>
                <w:rFonts w:ascii="宋体" w:hAnsi="宋体" w:eastAsia="宋体"/>
                <w:b w:val="0"/>
                <w:sz w:val="18"/>
              </w:rPr>
              <w:t>60.05 ± 0.64</w:t>
            </w:r>
          </w:p>
        </w:tc>
      </w:tr>
      <w:tr>
        <w:tc>
          <w:tcPr>
            <w:tcW w:type="dxa" w:w="1881"/>
            <w:tcMar>
              <w:top w:w="30" w:type="dxa"/>
              <w:bottom w:w="30" w:type="dxa"/>
              <w:left w:w="60" w:type="dxa"/>
              <w:right w:w="60" w:type="dxa"/>
            </w:tcMar>
          </w:tcPr>
          <w:p>
            <w:pPr>
              <w:jc w:val="center"/>
            </w:pPr>
            <w:r>
              <w:rPr>
                <w:rFonts w:ascii="宋体" w:hAnsi="宋体" w:eastAsia="宋体"/>
                <w:b w:val="0"/>
                <w:sz w:val="18"/>
              </w:rPr>
              <w:t>E1-09</w:t>
            </w:r>
          </w:p>
        </w:tc>
        <w:tc>
          <w:tcPr>
            <w:tcW w:type="dxa" w:w="1881"/>
            <w:tcMar>
              <w:top w:w="30" w:type="dxa"/>
              <w:bottom w:w="30" w:type="dxa"/>
              <w:left w:w="60" w:type="dxa"/>
              <w:right w:w="60" w:type="dxa"/>
            </w:tcMar>
          </w:tcPr>
          <w:p>
            <w:pPr>
              <w:jc w:val="center"/>
            </w:pPr>
            <w:r>
              <w:rPr>
                <w:rFonts w:ascii="宋体" w:hAnsi="宋体" w:eastAsia="宋体"/>
                <w:b w:val="0"/>
                <w:sz w:val="18"/>
              </w:rPr>
              <w:t>IEMOCAP (4)</w:t>
            </w:r>
          </w:p>
        </w:tc>
        <w:tc>
          <w:tcPr>
            <w:tcW w:type="dxa" w:w="1881"/>
            <w:tcMar>
              <w:top w:w="30" w:type="dxa"/>
              <w:bottom w:w="30" w:type="dxa"/>
              <w:left w:w="60" w:type="dxa"/>
              <w:right w:w="60" w:type="dxa"/>
            </w:tcMar>
          </w:tcPr>
          <w:p>
            <w:pPr>
              <w:jc w:val="center"/>
            </w:pPr>
            <w:r>
              <w:rPr>
                <w:rFonts w:ascii="宋体" w:hAnsi="宋体" w:eastAsia="宋体"/>
                <w:b w:val="0"/>
                <w:sz w:val="18"/>
              </w:rPr>
              <w:t>韵律引导</w:t>
            </w:r>
          </w:p>
        </w:tc>
        <w:tc>
          <w:tcPr>
            <w:tcW w:type="dxa" w:w="1881"/>
            <w:tcMar>
              <w:top w:w="30" w:type="dxa"/>
              <w:bottom w:w="30" w:type="dxa"/>
              <w:left w:w="60" w:type="dxa"/>
              <w:right w:w="60" w:type="dxa"/>
            </w:tcMar>
          </w:tcPr>
          <w:p>
            <w:pPr>
              <w:jc w:val="center"/>
            </w:pPr>
            <w:r>
              <w:rPr>
                <w:rFonts w:ascii="宋体" w:hAnsi="宋体" w:eastAsia="宋体"/>
                <w:b w:val="0"/>
                <w:sz w:val="18"/>
              </w:rPr>
              <w:t>64.38 ± 0.85</w:t>
            </w:r>
          </w:p>
        </w:tc>
        <w:tc>
          <w:tcPr>
            <w:tcW w:type="dxa" w:w="1881"/>
            <w:tcMar>
              <w:top w:w="30" w:type="dxa"/>
              <w:bottom w:w="30" w:type="dxa"/>
              <w:left w:w="60" w:type="dxa"/>
              <w:right w:w="60" w:type="dxa"/>
            </w:tcMar>
          </w:tcPr>
          <w:p>
            <w:pPr>
              <w:jc w:val="center"/>
            </w:pPr>
            <w:r>
              <w:rPr>
                <w:rFonts w:ascii="宋体" w:hAnsi="宋体" w:eastAsia="宋体"/>
                <w:b w:val="0"/>
                <w:sz w:val="18"/>
              </w:rPr>
              <w:t>60.37 ± 0.63</w:t>
            </w:r>
          </w:p>
        </w:tc>
      </w:tr>
    </w:tbl>
    <w:p/>
    <w:p>
      <w:r>
        <w:rPr>
          <w:b/>
          <w:i w:val="0"/>
          <w:sz w:val="22"/>
        </w:rPr>
        <w:t>关键观察：E1实验（表3）揭示了三点发现。</w:t>
      </w:r>
    </w:p>
    <w:p>
      <w:r>
        <w:rPr>
          <w:b w:val="0"/>
          <w:i w:val="0"/>
          <w:sz w:val="22"/>
        </w:rPr>
        <w:t>第一，自注意力和韵律引导池化在儿童语音上达到几乎相同的性能：C-BESD上Δ(SA−PG) = +0.01个百分点，FAU上+0.28个百分点，均完全在互相标准差的范围内。这表明韵律先验对儿童SER是中性的——在统计意义上有意义的层面既无帮助也无损害。</w:t>
      </w:r>
    </w:p>
    <w:p>
      <w:r>
        <w:rPr>
          <w:b w:val="0"/>
          <w:i w:val="0"/>
          <w:sz w:val="22"/>
        </w:rPr>
        <w:t>第二，在成人语音（IEMOCAP）上，韵律引导池化略优于自注意力（+0.62个百分点），推翻了声学先验有害于成人SER的假设。韵律先验最佳描述为人群中性并略呈正向倾向，而非人群依赖型。</w:t>
      </w:r>
    </w:p>
    <w:p>
      <w:r>
        <w:rPr>
          <w:b w:val="0"/>
          <w:i w:val="0"/>
          <w:sz w:val="22"/>
        </w:rPr>
        <w:t>第三，FAU自发型语料库表现出较大的WA-UAR差距（所有池化策略下约24个百分点），表明存在池化策略单独无法解决的严重类别不平衡。IEMOCAP的WA-UAR差距较小（约4-8个百分点），与其表演型、受控录制条件一致。</w:t>
      </w:r>
    </w:p>
    <w:p>
      <w:r>
        <w:rPr>
          <w:b w:val="0"/>
          <w:i w:val="0"/>
          <w:sz w:val="22"/>
        </w:rPr>
        <w:t>对于需要单一池化选择的下游实验，我们使用自注意力作为统一默认策略，同时指出替换为韵律引导在儿童语音上将在统计上无异。</w:t>
      </w:r>
    </w:p>
    <w:p>
      <w:pPr>
        <w:pStyle w:val="Heading2"/>
      </w:pPr>
      <w:r>
        <w:t>4.2 E2：WavLM冻结与解冻对比</w:t>
      </w:r>
    </w:p>
    <w:p>
      <w:r>
        <w:rPr>
          <w:b w:val="0"/>
          <w:i w:val="0"/>
          <w:sz w:val="22"/>
        </w:rPr>
        <w:t>目标：验证在每说话人样本量较小的条件下，冻结骨干网络范式对儿童SER是否必要。</w:t>
      </w:r>
    </w:p>
    <w:p>
      <w:r>
        <w:rPr>
          <w:b w:val="0"/>
          <w:i w:val="0"/>
          <w:sz w:val="22"/>
        </w:rPr>
        <w:t>状态：进行中。本系列使用各数据集在E1中的最优池化策略，比较冻结WavLM（94M参数固定，约704K可训练）与全量微调WavLM（94M参数可训练）。我们使用差异化学习率（骨干网络1×10⁻⁵，头部3×10⁻⁴）和梯度累积以管理GPU内存。我们的假设是，解冻将因有限说话人多样性（C-BESD 70说话人，FAU 51说话人）导致儿童性能下降，而对IEMOCAP可能提供边际增益，因为WavLM预训练中的成人语音覆盖更好 [Chen et al., 2022]。</w:t>
      </w:r>
    </w:p>
    <w:p>
      <w:pPr>
        <w:pStyle w:val="Heading2"/>
      </w:pPr>
      <w:r>
        <w:t>4.3 E3：零样本跨语料库迁移</w:t>
      </w:r>
    </w:p>
    <w:p>
      <w:r>
        <w:rPr>
          <w:b w:val="0"/>
          <w:i w:val="0"/>
          <w:sz w:val="22"/>
        </w:rPr>
        <w:t>目标：测量语料库级分布偏移如何影响零样本迁移准确率。模型在源语料库上训练，直接评估目标语料库，不进行任何目标域微调。</w:t>
      </w:r>
    </w:p>
    <w:p>
      <w:pPr>
        <w:spacing w:after="80"/>
        <w:jc w:val="center"/>
      </w:pPr>
      <w:r>
        <w:rPr>
          <w:b/>
          <w:i w:val="0"/>
          <w:sz w:val="20"/>
        </w:rPr>
        <w:t>表4. E3：零样本迁移矩阵（WA% / UAR%，种子42，自注意力池化）。对角线 = 域内E1值。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Mar>
              <w:top w:w="30" w:type="dxa"/>
              <w:bottom w:w="30" w:type="dxa"/>
              <w:left w:w="60" w:type="dxa"/>
              <w:right w:w="60" w:type="dxa"/>
            </w:tcMar>
            <w:shd w:fill="D9E2F3" w:val="clear"/>
          </w:tcPr>
          <w:p>
            <w:pPr>
              <w:jc w:val="center"/>
            </w:pPr>
            <w:r>
              <w:rPr>
                <w:rFonts w:ascii="黑体" w:hAnsi="黑体" w:eastAsia="黑体"/>
                <w:b/>
                <w:sz w:val="18"/>
              </w:rPr>
              <w:t>训练↓ / 测试→</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C-BESD</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FAU</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IEMOCAP</w:t>
            </w:r>
          </w:p>
        </w:tc>
      </w:tr>
      <w:tr>
        <w:tc>
          <w:tcPr>
            <w:tcW w:type="dxa" w:w="2351"/>
            <w:tcMar>
              <w:top w:w="30" w:type="dxa"/>
              <w:bottom w:w="30" w:type="dxa"/>
              <w:left w:w="60" w:type="dxa"/>
              <w:right w:w="60" w:type="dxa"/>
            </w:tcMar>
          </w:tcPr>
          <w:p>
            <w:pPr>
              <w:jc w:val="center"/>
            </w:pPr>
            <w:r>
              <w:rPr>
                <w:rFonts w:ascii="宋体" w:hAnsi="宋体" w:eastAsia="宋体"/>
                <w:b w:val="0"/>
                <w:sz w:val="18"/>
              </w:rPr>
              <w:t>C-BESD</w:t>
            </w:r>
          </w:p>
        </w:tc>
        <w:tc>
          <w:tcPr>
            <w:tcW w:type="dxa" w:w="2351"/>
            <w:tcMar>
              <w:top w:w="30" w:type="dxa"/>
              <w:bottom w:w="30" w:type="dxa"/>
              <w:left w:w="60" w:type="dxa"/>
              <w:right w:w="60" w:type="dxa"/>
            </w:tcMar>
          </w:tcPr>
          <w:p>
            <w:pPr>
              <w:jc w:val="center"/>
            </w:pPr>
            <w:r>
              <w:rPr>
                <w:rFonts w:ascii="宋体" w:hAnsi="宋体" w:eastAsia="宋体"/>
                <w:b w:val="0"/>
                <w:sz w:val="18"/>
              </w:rPr>
              <w:t>91.87 / 91.85</w:t>
            </w:r>
          </w:p>
        </w:tc>
        <w:tc>
          <w:tcPr>
            <w:tcW w:type="dxa" w:w="2351"/>
            <w:tcMar>
              <w:top w:w="30" w:type="dxa"/>
              <w:bottom w:w="30" w:type="dxa"/>
              <w:left w:w="60" w:type="dxa"/>
              <w:right w:w="60" w:type="dxa"/>
            </w:tcMar>
          </w:tcPr>
          <w:p>
            <w:pPr>
              <w:jc w:val="center"/>
            </w:pPr>
            <w:r>
              <w:rPr>
                <w:rFonts w:ascii="宋体" w:hAnsi="宋体" w:eastAsia="宋体"/>
                <w:b w:val="0"/>
                <w:sz w:val="18"/>
              </w:rPr>
              <w:t>20.51 / —</w:t>
            </w:r>
          </w:p>
        </w:tc>
        <w:tc>
          <w:tcPr>
            <w:tcW w:type="dxa" w:w="2351"/>
            <w:tcMar>
              <w:top w:w="30" w:type="dxa"/>
              <w:bottom w:w="30" w:type="dxa"/>
              <w:left w:w="60" w:type="dxa"/>
              <w:right w:w="60" w:type="dxa"/>
            </w:tcMar>
          </w:tcPr>
          <w:p>
            <w:pPr>
              <w:jc w:val="center"/>
            </w:pPr>
            <w:r>
              <w:rPr>
                <w:rFonts w:ascii="宋体" w:hAnsi="宋体" w:eastAsia="宋体"/>
                <w:b w:val="0"/>
                <w:sz w:val="18"/>
              </w:rPr>
              <w:t>33.20 / 29.31</w:t>
            </w:r>
          </w:p>
        </w:tc>
      </w:tr>
      <w:tr>
        <w:tc>
          <w:tcPr>
            <w:tcW w:type="dxa" w:w="2351"/>
            <w:tcMar>
              <w:top w:w="30" w:type="dxa"/>
              <w:bottom w:w="30" w:type="dxa"/>
              <w:left w:w="60" w:type="dxa"/>
              <w:right w:w="60" w:type="dxa"/>
            </w:tcMar>
          </w:tcPr>
          <w:p>
            <w:pPr>
              <w:jc w:val="center"/>
            </w:pPr>
            <w:r>
              <w:rPr>
                <w:rFonts w:ascii="宋体" w:hAnsi="宋体" w:eastAsia="宋体"/>
                <w:b w:val="0"/>
                <w:sz w:val="18"/>
              </w:rPr>
              <w:t>FAU</w:t>
            </w:r>
          </w:p>
        </w:tc>
        <w:tc>
          <w:tcPr>
            <w:tcW w:type="dxa" w:w="2351"/>
            <w:tcMar>
              <w:top w:w="30" w:type="dxa"/>
              <w:bottom w:w="30" w:type="dxa"/>
              <w:left w:w="60" w:type="dxa"/>
              <w:right w:w="60" w:type="dxa"/>
            </w:tcMar>
          </w:tcPr>
          <w:p>
            <w:pPr>
              <w:jc w:val="center"/>
            </w:pPr>
            <w:r>
              <w:rPr>
                <w:rFonts w:ascii="宋体" w:hAnsi="宋体" w:eastAsia="宋体"/>
                <w:b w:val="0"/>
                <w:sz w:val="18"/>
              </w:rPr>
              <w:t>25.50 / 25.58</w:t>
            </w:r>
          </w:p>
        </w:tc>
        <w:tc>
          <w:tcPr>
            <w:tcW w:type="dxa" w:w="2351"/>
            <w:tcMar>
              <w:top w:w="30" w:type="dxa"/>
              <w:bottom w:w="30" w:type="dxa"/>
              <w:left w:w="60" w:type="dxa"/>
              <w:right w:w="60" w:type="dxa"/>
            </w:tcMar>
          </w:tcPr>
          <w:p>
            <w:pPr>
              <w:jc w:val="center"/>
            </w:pPr>
            <w:r>
              <w:rPr>
                <w:rFonts w:ascii="宋体" w:hAnsi="宋体" w:eastAsia="宋体"/>
                <w:b w:val="0"/>
                <w:sz w:val="18"/>
              </w:rPr>
              <w:t>67.05 / 42.92</w:t>
            </w:r>
          </w:p>
        </w:tc>
        <w:tc>
          <w:tcPr>
            <w:tcW w:type="dxa" w:w="2351"/>
            <w:tcMar>
              <w:top w:w="30" w:type="dxa"/>
              <w:bottom w:w="30" w:type="dxa"/>
              <w:left w:w="60" w:type="dxa"/>
              <w:right w:w="60" w:type="dxa"/>
            </w:tcMar>
          </w:tcPr>
          <w:p>
            <w:pPr>
              <w:jc w:val="center"/>
            </w:pPr>
            <w:r>
              <w:rPr>
                <w:rFonts w:ascii="宋体" w:hAnsi="宋体" w:eastAsia="宋体"/>
                <w:b w:val="0"/>
                <w:sz w:val="18"/>
              </w:rPr>
              <w:t>24.36 / 27.74</w:t>
            </w:r>
          </w:p>
        </w:tc>
      </w:tr>
      <w:tr>
        <w:tc>
          <w:tcPr>
            <w:tcW w:type="dxa" w:w="2351"/>
            <w:tcMar>
              <w:top w:w="30" w:type="dxa"/>
              <w:bottom w:w="30" w:type="dxa"/>
              <w:left w:w="60" w:type="dxa"/>
              <w:right w:w="60" w:type="dxa"/>
            </w:tcMar>
          </w:tcPr>
          <w:p>
            <w:pPr>
              <w:jc w:val="center"/>
            </w:pPr>
            <w:r>
              <w:rPr>
                <w:rFonts w:ascii="宋体" w:hAnsi="宋体" w:eastAsia="宋体"/>
                <w:b w:val="0"/>
                <w:sz w:val="18"/>
              </w:rPr>
              <w:t>IEMOCAP</w:t>
            </w:r>
          </w:p>
        </w:tc>
        <w:tc>
          <w:tcPr>
            <w:tcW w:type="dxa" w:w="2351"/>
            <w:tcMar>
              <w:top w:w="30" w:type="dxa"/>
              <w:bottom w:w="30" w:type="dxa"/>
              <w:left w:w="60" w:type="dxa"/>
              <w:right w:w="60" w:type="dxa"/>
            </w:tcMar>
          </w:tcPr>
          <w:p>
            <w:pPr>
              <w:jc w:val="center"/>
            </w:pPr>
            <w:r>
              <w:rPr>
                <w:rFonts w:ascii="宋体" w:hAnsi="宋体" w:eastAsia="宋体"/>
                <w:b w:val="0"/>
                <w:sz w:val="18"/>
              </w:rPr>
              <w:t>33.67 / 33.64</w:t>
            </w:r>
          </w:p>
        </w:tc>
        <w:tc>
          <w:tcPr>
            <w:tcW w:type="dxa" w:w="2351"/>
            <w:tcMar>
              <w:top w:w="30" w:type="dxa"/>
              <w:bottom w:w="30" w:type="dxa"/>
              <w:left w:w="60" w:type="dxa"/>
              <w:right w:w="60" w:type="dxa"/>
            </w:tcMar>
          </w:tcPr>
          <w:p>
            <w:pPr>
              <w:jc w:val="center"/>
            </w:pPr>
            <w:r>
              <w:rPr>
                <w:rFonts w:ascii="宋体" w:hAnsi="宋体" w:eastAsia="宋体"/>
                <w:b w:val="0"/>
                <w:sz w:val="18"/>
              </w:rPr>
              <w:t>21.32 / 21.94</w:t>
            </w:r>
          </w:p>
        </w:tc>
        <w:tc>
          <w:tcPr>
            <w:tcW w:type="dxa" w:w="2351"/>
            <w:tcMar>
              <w:top w:w="30" w:type="dxa"/>
              <w:bottom w:w="30" w:type="dxa"/>
              <w:left w:w="60" w:type="dxa"/>
              <w:right w:w="60" w:type="dxa"/>
            </w:tcMar>
          </w:tcPr>
          <w:p>
            <w:pPr>
              <w:jc w:val="center"/>
            </w:pPr>
            <w:r>
              <w:rPr>
                <w:rFonts w:ascii="宋体" w:hAnsi="宋体" w:eastAsia="宋体"/>
                <w:b w:val="0"/>
                <w:sz w:val="18"/>
              </w:rPr>
              <w:t>63.76 / 60.05</w:t>
            </w:r>
          </w:p>
        </w:tc>
      </w:tr>
    </w:tbl>
    <w:p/>
    <w:p>
      <w:r>
        <w:rPr>
          <w:b/>
          <w:i w:val="0"/>
          <w:sz w:val="22"/>
        </w:rPr>
        <w:t>关键观察：</w:t>
      </w:r>
    </w:p>
    <w:p>
      <w:r>
        <w:rPr>
          <w:b w:val="0"/>
          <w:i w:val="0"/>
          <w:sz w:val="22"/>
        </w:rPr>
        <w:t>零样本迁移在所有六个跨语料库方向上一致失败：最高跨语料库WA为33.67%（IEMOCAP → C-BESD），仅略高于4类随机水平25%。最低迁移发生在自发型目标上（FAU：20.51-21.32% WA）。所有跨语料库结果均超过随机基线，确认WavLM特征保持一定的跨域鲁棒性，但无一接近可用准确率。这些结果表明，域内训练数据对实用儿童SER是不可或缺的。</w:t>
      </w:r>
    </w:p>
    <w:p>
      <w:r>
        <w:rPr>
          <w:b w:val="0"/>
          <w:i w:val="0"/>
          <w:sz w:val="22"/>
        </w:rPr>
        <w:t>部分E3结果（18个配置中已完成2个：C-BESD → FAU，均值和自注意力池化）显示WA分别为20.51%和21.50%。完整的18配置矩阵（三种池化策略×六个方向）正在进行中。</w:t>
      </w:r>
    </w:p>
    <w:p>
      <w:pPr>
        <w:pStyle w:val="Heading2"/>
      </w:pPr>
      <w:r>
        <w:t>4.4 E4：数据增广敏感性</w:t>
      </w:r>
    </w:p>
    <w:p>
      <w:r>
        <w:rPr>
          <w:b w:val="0"/>
          <w:i w:val="0"/>
          <w:sz w:val="22"/>
        </w:rPr>
        <w:t>目标：量化不同增广策略如何改变数据分布（通过FD衡量），以及这种偏移如何影响准确率，检验成人增广经验是否可迁移至儿童。</w:t>
      </w:r>
    </w:p>
    <w:p>
      <w:r>
        <w:rPr>
          <w:b/>
          <w:i w:val="0"/>
          <w:sz w:val="22"/>
        </w:rPr>
        <w:t>设计：我们定义四种增广条件（C1-C4），每种具有文献支撑的参数，通过不同机制操纵FD：</w:t>
      </w:r>
    </w:p>
    <w:p>
      <w:r>
        <w:rPr>
          <w:b/>
          <w:sz w:val="22"/>
        </w:rPr>
        <w:t>C1（清洁基线）：</w:t>
      </w:r>
      <w:r>
        <w:rPr>
          <w:sz w:val="22"/>
        </w:rPr>
        <w:t>原始数据，无处理。预期FD ≈ 0。</w:t>
      </w:r>
    </w:p>
    <w:p>
      <w:r>
        <w:rPr>
          <w:b/>
          <w:sz w:val="22"/>
        </w:rPr>
        <w:t>C2（成人数据混合，机制A）：</w:t>
      </w:r>
      <w:r>
        <w:rPr>
          <w:sz w:val="22"/>
        </w:rPr>
        <w:t>训练数据混入IEMOCAP成人语音样本（相同4类标签，混合比例约1:0.5）。无波形失真。FD预期适度增加。此条件检验将成人情绪语音混入儿童训练数据是否有帮助（通过增加样本多样性）或有害（通过分布不匹配）。文献依据：成人→儿童SER迁移最多达到F-score 0.47 [Lesyk et al., 2024]；儿童F0与成人男性相差约4-14个半音 [Lee et al., 2007]。</w:t>
      </w:r>
    </w:p>
    <w:p>
      <w:r>
        <w:rPr>
          <w:b/>
          <w:sz w:val="22"/>
        </w:rPr>
        <w:t>C3（儿童约束增广，机制B）：</w:t>
      </w:r>
      <w:r>
        <w:rPr>
          <w:sz w:val="22"/>
        </w:rPr>
        <w:t>SafeAWGN（加性高斯白噪声），SNR 10-20 dB，以0.5概率应用。无音高偏移（避免跨越儿童F0边界），无时间拉伸（在前期工作 [Tao et al., 2025] 中被确认为SER中风险最高的增广方法）。当约束有效时，FD预期接近零。文献依据：SNR 10-20 dB是SER的安全噪声范围 [Wu et al., 2023]；儿童F0标准差为±2-3个半音 [Tavares et al., 2010]。</w:t>
      </w:r>
    </w:p>
    <w:p>
      <w:r>
        <w:rPr>
          <w:b/>
          <w:sz w:val="22"/>
        </w:rPr>
        <w:t>C4（极端，机制A+B）：</w:t>
      </w:r>
      <w:r>
        <w:rPr>
          <w:sz w:val="22"/>
        </w:rPr>
        <w:t>IEMOCAP数据混合 + AWGN（SNR 5-15 dB）+ 音高偏移±12半音（一个八度 = 儿童至成人男性最大F0差异 [Lee et al., 2007]）。FD预期最大。文献依据：大幅音高偏移产生与偏移幅度成比例的严重PSOLA伪影 [Morrison et al., 2024]；SNR低于10 dB导致干净训练模型准确率崩塌 [Wu et al., 2024]。</w:t>
      </w:r>
    </w:p>
    <w:p>
      <w:r>
        <w:rPr>
          <w:b w:val="0"/>
          <w:i w:val="0"/>
          <w:sz w:val="22"/>
        </w:rPr>
        <w:t>状态：进行中。v5协议的初步结果（6:2:2划分，韵律池化）在C-BESD上确认了FD-WA负相关：C1 (FD≈0.00, WA≈81.24%), C2 (FD≈9.87, WA≈50.61%), C3 (FD≈8.71, WA≈59.89%), C4 (FD≈11.99, WA≈46.50%)。完整的E4（AC Suite协议，12配置×3种子×3数据集，自注意力池化）正在进行中。对IEMOCAP，C2使用FAU儿童数据混合代替成人数据（因为IEMOCAP本身即为成人数据），形成跨年龄+跨风格的双重偏移。</w:t>
      </w:r>
    </w:p>
    <w:p>
      <w:pPr>
        <w:pStyle w:val="Heading2"/>
      </w:pPr>
      <w:r>
        <w:t>4.5 E5：层融合消融</w:t>
      </w:r>
    </w:p>
    <w:p>
      <w:r>
        <w:rPr>
          <w:b w:val="0"/>
          <w:i w:val="0"/>
          <w:sz w:val="22"/>
        </w:rPr>
        <w:t>目标：量化可学习12层加权融合相对于单层和末层基线的贡献。</w:t>
      </w:r>
    </w:p>
    <w:p>
      <w:r>
        <w:rPr>
          <w:b w:val="0"/>
          <w:i w:val="0"/>
          <w:sz w:val="22"/>
        </w:rPr>
        <w:t>设计：对各数据集比较三种融合策略：（1）仅末层（仅L12）；（2）最佳单层（对L1-L12进行全网格搜索，选择最大化验证WA的层）；（3）加权求和（12个可学习softmax权重，我们的默认策略）。均使用自注意力池化和E1最优正则化。</w:t>
      </w:r>
    </w:p>
    <w:p>
      <w:r>
        <w:rPr>
          <w:b w:val="0"/>
          <w:i w:val="0"/>
          <w:sz w:val="22"/>
        </w:rPr>
        <w:t>状态：进行中。层融合在所有E1-E4实验中均处于激活状态，为强劲基线性能做出了贡献，但比较三种融合方法的干净消融需要专门的运行。v5模块消融的初步证据表明加权融合带来有意义的增益。我们还在分析部分（第5节）报告了已完成E1检查点的学习到的层权重分布。</w:t>
      </w:r>
    </w:p>
    <w:p>
      <w:pPr>
        <w:pStyle w:val="Heading2"/>
      </w:pPr>
      <w:r>
        <w:t>4.6 E6：模块消融</w:t>
      </w:r>
    </w:p>
    <w:p>
      <w:r>
        <w:rPr>
          <w:b w:val="0"/>
          <w:i w:val="0"/>
          <w:sz w:val="22"/>
        </w:rPr>
        <w:t>目标：隔离每个架构组件的独立贡献。</w:t>
      </w:r>
    </w:p>
    <w:p>
      <w:r>
        <w:rPr>
          <w:b w:val="0"/>
          <w:i w:val="0"/>
          <w:sz w:val="22"/>
        </w:rPr>
        <w:t>设计：分别针对C-BESD和FAU构建消融阶梯：（1）均值池化+末层（最低基线）；（2）+适配器（分布校准）；（3）+E1最优池化；（4）+层融合；（5）全栈（适配器+最优池化+层融合）。IEMOCAP因其说话人数过少（10人）而排除在外，细粒度消融不可靠。</w:t>
      </w:r>
    </w:p>
    <w:p>
      <w:r>
        <w:rPr>
          <w:b w:val="0"/>
          <w:i w:val="0"/>
          <w:sz w:val="22"/>
        </w:rPr>
        <w:t>状态：进行中。v5协议的初步结果表明，池化策略贡献了最大的单模块增益（相对于均值池化约+2.2个百分点），适配器提供边际收益（约+0.2-0.6个百分点）。使用AC Suite协议和自注意力池化的完整E6仍待完成。</w:t>
      </w:r>
    </w:p>
    <w:p>
      <w:pPr>
        <w:pStyle w:val="Heading2"/>
      </w:pPr>
      <w:r>
        <w:t>4.7 E7：模型迁移（微调）</w:t>
      </w:r>
    </w:p>
    <w:p>
      <w:r>
        <w:rPr>
          <w:b w:val="0"/>
          <w:i w:val="0"/>
          <w:sz w:val="22"/>
        </w:rPr>
        <w:t>目标：检验在一个语料库上预训练再在另一个上微调是否优于从头训练。这与E3（零样本）互补：E3测量不接触目标的直接泛化能力，而E7测量源域预训练是否为目标域微调提供有益的初始化。</w:t>
      </w:r>
    </w:p>
    <w:p>
      <w:r>
        <w:rPr>
          <w:b w:val="0"/>
          <w:i w:val="0"/>
          <w:sz w:val="22"/>
        </w:rPr>
        <w:t>设计：对所有六个有向语料库对，从源语料库取最佳E1检查点，在目标语料库训练集上微调（使用降低的学习率1×10⁻⁴），并在目标测试集上评估。每个方向使用3个种子。</w:t>
      </w:r>
    </w:p>
    <w:p>
      <w:r>
        <w:rPr>
          <w:b w:val="0"/>
          <w:i w:val="0"/>
          <w:sz w:val="22"/>
        </w:rPr>
        <w:t>状态：待完成。E7依赖于已完成的E1检查点。</w:t>
      </w:r>
    </w:p>
    <w:p>
      <w:pPr>
        <w:pStyle w:val="Heading1"/>
      </w:pPr>
      <w:r>
        <w:t>5. 分析与讨论</w:t>
      </w:r>
    </w:p>
    <w:p>
      <w:r>
        <w:rPr>
          <w:b w:val="0"/>
          <w:i w:val="0"/>
          <w:sz w:val="22"/>
        </w:rPr>
        <w:t>已完成的E1实验以及部分E3/E4结果，结合分布偏移测量和层融合分析，揭示了四个相互关联的规律。我们还呈现了特征空间的定性t-SNE可视化。</w:t>
      </w:r>
    </w:p>
    <w:p>
      <w:pPr>
        <w:pStyle w:val="Heading2"/>
      </w:pPr>
      <w:r>
        <w:t>5.1 发现一：FD-准确率单调关系</w:t>
      </w:r>
    </w:p>
    <w:p>
      <w:r>
        <w:rPr>
          <w:b w:val="0"/>
          <w:i w:val="0"/>
          <w:sz w:val="22"/>
        </w:rPr>
        <w:t>横跨年龄、风格、增广和语言维度，语料库级WavLM特征分布之间的Fréchet Distance与分类准确率表现出强烈的单调负相关。表5总结了这一关系。</w:t>
      </w:r>
    </w:p>
    <w:p>
      <w:pPr>
        <w:spacing w:after="80"/>
        <w:jc w:val="center"/>
      </w:pPr>
      <w:r>
        <w:rPr>
          <w:b/>
          <w:i w:val="0"/>
          <w:sz w:val="20"/>
        </w:rPr>
        <w:t>表5. 五个分布偏移维度上的FD-准确率对应关系。标准WavLM特征空间中的FD值。Spearman ρ = −0.89（n=5, p&lt;0.05）。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Mar>
              <w:top w:w="30" w:type="dxa"/>
              <w:bottom w:w="30" w:type="dxa"/>
              <w:left w:w="60" w:type="dxa"/>
              <w:right w:w="60" w:type="dxa"/>
            </w:tcMar>
            <w:shd w:fill="D9E2F3" w:val="clear"/>
          </w:tcPr>
          <w:p>
            <w:pPr>
              <w:jc w:val="center"/>
            </w:pPr>
            <w:r>
              <w:rPr>
                <w:rFonts w:ascii="黑体" w:hAnsi="黑体" w:eastAsia="黑体"/>
                <w:b/>
                <w:sz w:val="18"/>
              </w:rPr>
              <w:t>偏移维度</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FD</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最佳WA (%)</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来源</w:t>
            </w:r>
          </w:p>
        </w:tc>
      </w:tr>
      <w:tr>
        <w:tc>
          <w:tcPr>
            <w:tcW w:type="dxa" w:w="2351"/>
            <w:tcMar>
              <w:top w:w="30" w:type="dxa"/>
              <w:bottom w:w="30" w:type="dxa"/>
              <w:left w:w="60" w:type="dxa"/>
              <w:right w:w="60" w:type="dxa"/>
            </w:tcMar>
          </w:tcPr>
          <w:p>
            <w:pPr>
              <w:jc w:val="center"/>
            </w:pPr>
            <w:r>
              <w:rPr>
                <w:rFonts w:ascii="宋体" w:hAnsi="宋体" w:eastAsia="宋体"/>
                <w:b w:val="0"/>
                <w:sz w:val="18"/>
              </w:rPr>
              <w:t>同语料库（域内, SA）</w:t>
            </w:r>
          </w:p>
        </w:tc>
        <w:tc>
          <w:tcPr>
            <w:tcW w:type="dxa" w:w="2351"/>
            <w:tcMar>
              <w:top w:w="30" w:type="dxa"/>
              <w:bottom w:w="30" w:type="dxa"/>
              <w:left w:w="60" w:type="dxa"/>
              <w:right w:w="60" w:type="dxa"/>
            </w:tcMar>
          </w:tcPr>
          <w:p>
            <w:pPr>
              <w:jc w:val="center"/>
            </w:pPr>
            <w:r>
              <w:rPr>
                <w:rFonts w:ascii="宋体" w:hAnsi="宋体" w:eastAsia="宋体"/>
                <w:b w:val="0"/>
                <w:sz w:val="18"/>
              </w:rPr>
              <w:t>0.00</w:t>
            </w:r>
          </w:p>
        </w:tc>
        <w:tc>
          <w:tcPr>
            <w:tcW w:type="dxa" w:w="2351"/>
            <w:tcMar>
              <w:top w:w="30" w:type="dxa"/>
              <w:bottom w:w="30" w:type="dxa"/>
              <w:left w:w="60" w:type="dxa"/>
              <w:right w:w="60" w:type="dxa"/>
            </w:tcMar>
          </w:tcPr>
          <w:p>
            <w:pPr>
              <w:jc w:val="center"/>
            </w:pPr>
            <w:r>
              <w:rPr>
                <w:rFonts w:ascii="宋体" w:hAnsi="宋体" w:eastAsia="宋体"/>
                <w:b w:val="0"/>
                <w:sz w:val="18"/>
              </w:rPr>
              <w:t>91.87</w:t>
            </w:r>
          </w:p>
        </w:tc>
        <w:tc>
          <w:tcPr>
            <w:tcW w:type="dxa" w:w="2351"/>
            <w:tcMar>
              <w:top w:w="30" w:type="dxa"/>
              <w:bottom w:w="30" w:type="dxa"/>
              <w:left w:w="60" w:type="dxa"/>
              <w:right w:w="60" w:type="dxa"/>
            </w:tcMar>
          </w:tcPr>
          <w:p>
            <w:pPr>
              <w:jc w:val="center"/>
            </w:pPr>
            <w:r>
              <w:rPr>
                <w:rFonts w:ascii="宋体" w:hAnsi="宋体" w:eastAsia="宋体"/>
                <w:b w:val="0"/>
                <w:sz w:val="18"/>
              </w:rPr>
              <w:t>E1-02 (C-BESD)</w:t>
            </w:r>
          </w:p>
        </w:tc>
      </w:tr>
      <w:tr>
        <w:tc>
          <w:tcPr>
            <w:tcW w:type="dxa" w:w="2351"/>
            <w:tcMar>
              <w:top w:w="30" w:type="dxa"/>
              <w:bottom w:w="30" w:type="dxa"/>
              <w:left w:w="60" w:type="dxa"/>
              <w:right w:w="60" w:type="dxa"/>
            </w:tcMar>
          </w:tcPr>
          <w:p>
            <w:pPr>
              <w:jc w:val="center"/>
            </w:pPr>
            <w:r>
              <w:rPr>
                <w:rFonts w:ascii="宋体" w:hAnsi="宋体" w:eastAsia="宋体"/>
                <w:b w:val="0"/>
                <w:sz w:val="18"/>
              </w:rPr>
              <w:t>年龄偏移（成人域内）</w:t>
            </w:r>
          </w:p>
        </w:tc>
        <w:tc>
          <w:tcPr>
            <w:tcW w:type="dxa" w:w="2351"/>
            <w:tcMar>
              <w:top w:w="30" w:type="dxa"/>
              <w:bottom w:w="30" w:type="dxa"/>
              <w:left w:w="60" w:type="dxa"/>
              <w:right w:w="60" w:type="dxa"/>
            </w:tcMar>
          </w:tcPr>
          <w:p>
            <w:pPr>
              <w:jc w:val="center"/>
            </w:pPr>
            <w:r>
              <w:rPr>
                <w:rFonts w:ascii="宋体" w:hAnsi="宋体" w:eastAsia="宋体"/>
                <w:b w:val="0"/>
                <w:sz w:val="18"/>
              </w:rPr>
              <w:t>7.20</w:t>
            </w:r>
          </w:p>
        </w:tc>
        <w:tc>
          <w:tcPr>
            <w:tcW w:type="dxa" w:w="2351"/>
            <w:tcMar>
              <w:top w:w="30" w:type="dxa"/>
              <w:bottom w:w="30" w:type="dxa"/>
              <w:left w:w="60" w:type="dxa"/>
              <w:right w:w="60" w:type="dxa"/>
            </w:tcMar>
          </w:tcPr>
          <w:p>
            <w:pPr>
              <w:jc w:val="center"/>
            </w:pPr>
            <w:r>
              <w:rPr>
                <w:rFonts w:ascii="宋体" w:hAnsi="宋体" w:eastAsia="宋体"/>
                <w:b w:val="0"/>
                <w:sz w:val="18"/>
              </w:rPr>
              <w:t>64.38</w:t>
            </w:r>
          </w:p>
        </w:tc>
        <w:tc>
          <w:tcPr>
            <w:tcW w:type="dxa" w:w="2351"/>
            <w:tcMar>
              <w:top w:w="30" w:type="dxa"/>
              <w:bottom w:w="30" w:type="dxa"/>
              <w:left w:w="60" w:type="dxa"/>
              <w:right w:w="60" w:type="dxa"/>
            </w:tcMar>
          </w:tcPr>
          <w:p>
            <w:pPr>
              <w:jc w:val="center"/>
            </w:pPr>
            <w:r>
              <w:rPr>
                <w:rFonts w:ascii="宋体" w:hAnsi="宋体" w:eastAsia="宋体"/>
                <w:b w:val="0"/>
                <w:sz w:val="18"/>
              </w:rPr>
              <w:t>E1-09 (IEMOCAP PG)</w:t>
            </w:r>
          </w:p>
        </w:tc>
      </w:tr>
      <w:tr>
        <w:tc>
          <w:tcPr>
            <w:tcW w:type="dxa" w:w="2351"/>
            <w:tcMar>
              <w:top w:w="30" w:type="dxa"/>
              <w:bottom w:w="30" w:type="dxa"/>
              <w:left w:w="60" w:type="dxa"/>
              <w:right w:w="60" w:type="dxa"/>
            </w:tcMar>
          </w:tcPr>
          <w:p>
            <w:pPr>
              <w:jc w:val="center"/>
            </w:pPr>
            <w:r>
              <w:rPr>
                <w:rFonts w:ascii="宋体" w:hAnsi="宋体" w:eastAsia="宋体"/>
                <w:b w:val="0"/>
                <w:sz w:val="18"/>
              </w:rPr>
              <w:t>风格偏移（自发型域内）</w:t>
            </w:r>
          </w:p>
        </w:tc>
        <w:tc>
          <w:tcPr>
            <w:tcW w:type="dxa" w:w="2351"/>
            <w:tcMar>
              <w:top w:w="30" w:type="dxa"/>
              <w:bottom w:w="30" w:type="dxa"/>
              <w:left w:w="60" w:type="dxa"/>
              <w:right w:w="60" w:type="dxa"/>
            </w:tcMar>
          </w:tcPr>
          <w:p>
            <w:pPr>
              <w:jc w:val="center"/>
            </w:pPr>
            <w:r>
              <w:rPr>
                <w:rFonts w:ascii="宋体" w:hAnsi="宋体" w:eastAsia="宋体"/>
                <w:b w:val="0"/>
                <w:sz w:val="18"/>
              </w:rPr>
              <w:t>8.50</w:t>
            </w:r>
          </w:p>
        </w:tc>
        <w:tc>
          <w:tcPr>
            <w:tcW w:type="dxa" w:w="2351"/>
            <w:tcMar>
              <w:top w:w="30" w:type="dxa"/>
              <w:bottom w:w="30" w:type="dxa"/>
              <w:left w:w="60" w:type="dxa"/>
              <w:right w:w="60" w:type="dxa"/>
            </w:tcMar>
          </w:tcPr>
          <w:p>
            <w:pPr>
              <w:jc w:val="center"/>
            </w:pPr>
            <w:r>
              <w:rPr>
                <w:rFonts w:ascii="宋体" w:hAnsi="宋体" w:eastAsia="宋体"/>
                <w:b w:val="0"/>
                <w:sz w:val="18"/>
              </w:rPr>
              <w:t>67.05</w:t>
            </w:r>
          </w:p>
        </w:tc>
        <w:tc>
          <w:tcPr>
            <w:tcW w:type="dxa" w:w="2351"/>
            <w:tcMar>
              <w:top w:w="30" w:type="dxa"/>
              <w:bottom w:w="30" w:type="dxa"/>
              <w:left w:w="60" w:type="dxa"/>
              <w:right w:w="60" w:type="dxa"/>
            </w:tcMar>
          </w:tcPr>
          <w:p>
            <w:pPr>
              <w:jc w:val="center"/>
            </w:pPr>
            <w:r>
              <w:rPr>
                <w:rFonts w:ascii="宋体" w:hAnsi="宋体" w:eastAsia="宋体"/>
                <w:b w:val="0"/>
                <w:sz w:val="18"/>
              </w:rPr>
              <w:t>E1-05 (FAU SA)</w:t>
            </w:r>
          </w:p>
        </w:tc>
      </w:tr>
      <w:tr>
        <w:tc>
          <w:tcPr>
            <w:tcW w:type="dxa" w:w="2351"/>
            <w:tcMar>
              <w:top w:w="30" w:type="dxa"/>
              <w:bottom w:w="30" w:type="dxa"/>
              <w:left w:w="60" w:type="dxa"/>
              <w:right w:w="60" w:type="dxa"/>
            </w:tcMar>
          </w:tcPr>
          <w:p>
            <w:pPr>
              <w:jc w:val="center"/>
            </w:pPr>
            <w:r>
              <w:rPr>
                <w:rFonts w:ascii="宋体" w:hAnsi="宋体" w:eastAsia="宋体"/>
                <w:b w:val="0"/>
                <w:sz w:val="18"/>
              </w:rPr>
              <w:t>风格偏移（零样本）</w:t>
            </w:r>
          </w:p>
        </w:tc>
        <w:tc>
          <w:tcPr>
            <w:tcW w:type="dxa" w:w="2351"/>
            <w:tcMar>
              <w:top w:w="30" w:type="dxa"/>
              <w:bottom w:w="30" w:type="dxa"/>
              <w:left w:w="60" w:type="dxa"/>
              <w:right w:w="60" w:type="dxa"/>
            </w:tcMar>
          </w:tcPr>
          <w:p>
            <w:pPr>
              <w:jc w:val="center"/>
            </w:pPr>
            <w:r>
              <w:rPr>
                <w:rFonts w:ascii="宋体" w:hAnsi="宋体" w:eastAsia="宋体"/>
                <w:b w:val="0"/>
                <w:sz w:val="18"/>
              </w:rPr>
              <w:t>8.50</w:t>
            </w:r>
          </w:p>
        </w:tc>
        <w:tc>
          <w:tcPr>
            <w:tcW w:type="dxa" w:w="2351"/>
            <w:tcMar>
              <w:top w:w="30" w:type="dxa"/>
              <w:bottom w:w="30" w:type="dxa"/>
              <w:left w:w="60" w:type="dxa"/>
              <w:right w:w="60" w:type="dxa"/>
            </w:tcMar>
          </w:tcPr>
          <w:p>
            <w:pPr>
              <w:jc w:val="center"/>
            </w:pPr>
            <w:r>
              <w:rPr>
                <w:rFonts w:ascii="宋体" w:hAnsi="宋体" w:eastAsia="宋体"/>
                <w:b w:val="0"/>
                <w:sz w:val="18"/>
              </w:rPr>
              <w:t>20.51</w:t>
            </w:r>
          </w:p>
        </w:tc>
        <w:tc>
          <w:tcPr>
            <w:tcW w:type="dxa" w:w="2351"/>
            <w:tcMar>
              <w:top w:w="30" w:type="dxa"/>
              <w:bottom w:w="30" w:type="dxa"/>
              <w:left w:w="60" w:type="dxa"/>
              <w:right w:w="60" w:type="dxa"/>
            </w:tcMar>
          </w:tcPr>
          <w:p>
            <w:pPr>
              <w:jc w:val="center"/>
            </w:pPr>
            <w:r>
              <w:rPr>
                <w:rFonts w:ascii="宋体" w:hAnsi="宋体" w:eastAsia="宋体"/>
                <w:b w:val="0"/>
                <w:sz w:val="18"/>
              </w:rPr>
              <w:t>E3 (C-BESD→FAU)</w:t>
            </w:r>
          </w:p>
        </w:tc>
      </w:tr>
      <w:tr>
        <w:tc>
          <w:tcPr>
            <w:tcW w:type="dxa" w:w="2351"/>
            <w:tcMar>
              <w:top w:w="30" w:type="dxa"/>
              <w:bottom w:w="30" w:type="dxa"/>
              <w:left w:w="60" w:type="dxa"/>
              <w:right w:w="60" w:type="dxa"/>
            </w:tcMar>
          </w:tcPr>
          <w:p>
            <w:pPr>
              <w:jc w:val="center"/>
            </w:pPr>
            <w:r>
              <w:rPr>
                <w:rFonts w:ascii="宋体" w:hAnsi="宋体" w:eastAsia="宋体"/>
                <w:b w:val="0"/>
                <w:sz w:val="18"/>
              </w:rPr>
              <w:t>增广偏移（极端）</w:t>
            </w:r>
          </w:p>
        </w:tc>
        <w:tc>
          <w:tcPr>
            <w:tcW w:type="dxa" w:w="2351"/>
            <w:tcMar>
              <w:top w:w="30" w:type="dxa"/>
              <w:bottom w:w="30" w:type="dxa"/>
              <w:left w:w="60" w:type="dxa"/>
              <w:right w:w="60" w:type="dxa"/>
            </w:tcMar>
          </w:tcPr>
          <w:p>
            <w:pPr>
              <w:jc w:val="center"/>
            </w:pPr>
            <w:r>
              <w:rPr>
                <w:rFonts w:ascii="宋体" w:hAnsi="宋体" w:eastAsia="宋体"/>
                <w:b w:val="0"/>
                <w:sz w:val="18"/>
              </w:rPr>
              <w:t>11.99</w:t>
            </w:r>
          </w:p>
        </w:tc>
        <w:tc>
          <w:tcPr>
            <w:tcW w:type="dxa" w:w="2351"/>
            <w:tcMar>
              <w:top w:w="30" w:type="dxa"/>
              <w:bottom w:w="30" w:type="dxa"/>
              <w:left w:w="60" w:type="dxa"/>
              <w:right w:w="60" w:type="dxa"/>
            </w:tcMar>
          </w:tcPr>
          <w:p>
            <w:pPr>
              <w:jc w:val="center"/>
            </w:pPr>
            <w:r>
              <w:rPr>
                <w:rFonts w:ascii="宋体" w:hAnsi="宋体" w:eastAsia="宋体"/>
                <w:b w:val="0"/>
                <w:sz w:val="18"/>
              </w:rPr>
              <w:t>46.50</w:t>
            </w:r>
          </w:p>
        </w:tc>
        <w:tc>
          <w:tcPr>
            <w:tcW w:type="dxa" w:w="2351"/>
            <w:tcMar>
              <w:top w:w="30" w:type="dxa"/>
              <w:bottom w:w="30" w:type="dxa"/>
              <w:left w:w="60" w:type="dxa"/>
              <w:right w:w="60" w:type="dxa"/>
            </w:tcMar>
          </w:tcPr>
          <w:p>
            <w:pPr>
              <w:jc w:val="center"/>
            </w:pPr>
            <w:r>
              <w:rPr>
                <w:rFonts w:ascii="宋体" w:hAnsi="宋体" w:eastAsia="宋体"/>
                <w:b w:val="0"/>
                <w:sz w:val="18"/>
              </w:rPr>
              <w:t>E4-04 (v5 C4)</w:t>
            </w:r>
          </w:p>
        </w:tc>
      </w:tr>
    </w:tbl>
    <w:p/>
    <w:p>
      <w:r>
        <w:rPr>
          <w:b w:val="0"/>
          <w:i w:val="0"/>
          <w:sz w:val="22"/>
        </w:rPr>
        <w:t>FD的每一次增加都对应WA的下降。尽管不同分布偏移维度的底层原因各异，单调性在全部五个维度上均成立。据我们所知，这是首次将FD作为跨语料库儿童SER的诊断工具进行展示。一个值得注意的案例是风格偏移维度：相同的FD值（8.50）在有域内训练时（E1-05）产生67.05% WA，而在零样本迁移下（E3）仅产生20.51-21.50% WA。这46个百分点的差距表明，域内训练可以部分克服分布偏移，且FD测量的是语料库级距离而非可学习性。实际应用含义是：FD可作为预训练诊断工具——如果训练与部署语料库之间的FD超过某个阈值，应优先采集域内数据而非进行零样本部署。</w:t>
      </w:r>
    </w:p>
    <w:p>
      <w:pPr>
        <w:pStyle w:val="Heading2"/>
      </w:pPr>
      <w:r>
        <w:t>5.2 发现二：人群中性韵律引导</w:t>
      </w:r>
    </w:p>
    <w:p>
      <w:r>
        <w:rPr>
          <w:b w:val="0"/>
          <w:i w:val="0"/>
          <w:sz w:val="22"/>
        </w:rPr>
        <w:t>表6比较了三种人群下的自注意力（SA）与韵律引导（PG）池化。</w:t>
      </w:r>
    </w:p>
    <w:p>
      <w:pPr>
        <w:spacing w:after="80"/>
        <w:jc w:val="center"/>
      </w:pPr>
      <w:r>
        <w:rPr>
          <w:b/>
          <w:i w:val="0"/>
          <w:sz w:val="20"/>
        </w:rPr>
        <w:t>表6. 各人群韵律引导与自注意力池化的差距（3种子，E1）。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Mar>
              <w:top w:w="30" w:type="dxa"/>
              <w:bottom w:w="30" w:type="dxa"/>
              <w:left w:w="60" w:type="dxa"/>
              <w:right w:w="60" w:type="dxa"/>
            </w:tcMar>
            <w:shd w:fill="D9E2F3" w:val="clear"/>
          </w:tcPr>
          <w:p>
            <w:pPr>
              <w:jc w:val="center"/>
            </w:pPr>
            <w:r>
              <w:rPr>
                <w:rFonts w:ascii="黑体" w:hAnsi="黑体" w:eastAsia="黑体"/>
                <w:b/>
                <w:sz w:val="18"/>
              </w:rPr>
              <w:t>数据集</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人群</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ΔWA (SA − PG)</w:t>
            </w:r>
          </w:p>
        </w:tc>
        <w:tc>
          <w:tcPr>
            <w:tcW w:type="dxa" w:w="2351"/>
            <w:tcMar>
              <w:top w:w="30" w:type="dxa"/>
              <w:bottom w:w="30" w:type="dxa"/>
              <w:left w:w="60" w:type="dxa"/>
              <w:right w:w="60" w:type="dxa"/>
            </w:tcMar>
            <w:shd w:fill="D9E2F3" w:val="clear"/>
          </w:tcPr>
          <w:p>
            <w:pPr>
              <w:jc w:val="center"/>
            </w:pPr>
            <w:r>
              <w:rPr>
                <w:rFonts w:ascii="黑体" w:hAnsi="黑体" w:eastAsia="黑体"/>
                <w:b/>
                <w:sz w:val="18"/>
              </w:rPr>
              <w:t>解释</w:t>
            </w:r>
          </w:p>
        </w:tc>
      </w:tr>
      <w:tr>
        <w:tc>
          <w:tcPr>
            <w:tcW w:type="dxa" w:w="2351"/>
            <w:tcMar>
              <w:top w:w="30" w:type="dxa"/>
              <w:bottom w:w="30" w:type="dxa"/>
              <w:left w:w="60" w:type="dxa"/>
              <w:right w:w="60" w:type="dxa"/>
            </w:tcMar>
          </w:tcPr>
          <w:p>
            <w:pPr>
              <w:jc w:val="center"/>
            </w:pPr>
            <w:r>
              <w:rPr>
                <w:rFonts w:ascii="宋体" w:hAnsi="宋体" w:eastAsia="宋体"/>
                <w:b w:val="0"/>
                <w:sz w:val="18"/>
              </w:rPr>
              <w:t>C-BESD</w:t>
            </w:r>
          </w:p>
        </w:tc>
        <w:tc>
          <w:tcPr>
            <w:tcW w:type="dxa" w:w="2351"/>
            <w:tcMar>
              <w:top w:w="30" w:type="dxa"/>
              <w:bottom w:w="30" w:type="dxa"/>
              <w:left w:w="60" w:type="dxa"/>
              <w:right w:w="60" w:type="dxa"/>
            </w:tcMar>
          </w:tcPr>
          <w:p>
            <w:pPr>
              <w:jc w:val="center"/>
            </w:pPr>
            <w:r>
              <w:rPr>
                <w:rFonts w:ascii="宋体" w:hAnsi="宋体" w:eastAsia="宋体"/>
                <w:b w:val="0"/>
                <w:sz w:val="18"/>
              </w:rPr>
              <w:t>儿童（表演型）</w:t>
            </w:r>
          </w:p>
        </w:tc>
        <w:tc>
          <w:tcPr>
            <w:tcW w:type="dxa" w:w="2351"/>
            <w:tcMar>
              <w:top w:w="30" w:type="dxa"/>
              <w:bottom w:w="30" w:type="dxa"/>
              <w:left w:w="60" w:type="dxa"/>
              <w:right w:w="60" w:type="dxa"/>
            </w:tcMar>
          </w:tcPr>
          <w:p>
            <w:pPr>
              <w:jc w:val="center"/>
            </w:pPr>
            <w:r>
              <w:rPr>
                <w:rFonts w:ascii="宋体" w:hAnsi="宋体" w:eastAsia="宋体"/>
                <w:b w:val="0"/>
                <w:sz w:val="18"/>
              </w:rPr>
              <w:t>+0.01pp</w:t>
            </w:r>
          </w:p>
        </w:tc>
        <w:tc>
          <w:tcPr>
            <w:tcW w:type="dxa" w:w="2351"/>
            <w:tcMar>
              <w:top w:w="30" w:type="dxa"/>
              <w:bottom w:w="30" w:type="dxa"/>
              <w:left w:w="60" w:type="dxa"/>
              <w:right w:w="60" w:type="dxa"/>
            </w:tcMar>
          </w:tcPr>
          <w:p>
            <w:pPr>
              <w:jc w:val="center"/>
            </w:pPr>
            <w:r>
              <w:rPr>
                <w:rFonts w:ascii="宋体" w:hAnsi="宋体" w:eastAsia="宋体"/>
                <w:b w:val="0"/>
                <w:sz w:val="18"/>
              </w:rPr>
              <w:t>PG ≈ SA</w:t>
            </w:r>
          </w:p>
        </w:tc>
      </w:tr>
      <w:tr>
        <w:tc>
          <w:tcPr>
            <w:tcW w:type="dxa" w:w="2351"/>
            <w:tcMar>
              <w:top w:w="30" w:type="dxa"/>
              <w:bottom w:w="30" w:type="dxa"/>
              <w:left w:w="60" w:type="dxa"/>
              <w:right w:w="60" w:type="dxa"/>
            </w:tcMar>
          </w:tcPr>
          <w:p>
            <w:pPr>
              <w:jc w:val="center"/>
            </w:pPr>
            <w:r>
              <w:rPr>
                <w:rFonts w:ascii="宋体" w:hAnsi="宋体" w:eastAsia="宋体"/>
                <w:b w:val="0"/>
                <w:sz w:val="18"/>
              </w:rPr>
              <w:t>FAU Aibo</w:t>
            </w:r>
          </w:p>
        </w:tc>
        <w:tc>
          <w:tcPr>
            <w:tcW w:type="dxa" w:w="2351"/>
            <w:tcMar>
              <w:top w:w="30" w:type="dxa"/>
              <w:bottom w:w="30" w:type="dxa"/>
              <w:left w:w="60" w:type="dxa"/>
              <w:right w:w="60" w:type="dxa"/>
            </w:tcMar>
          </w:tcPr>
          <w:p>
            <w:pPr>
              <w:jc w:val="center"/>
            </w:pPr>
            <w:r>
              <w:rPr>
                <w:rFonts w:ascii="宋体" w:hAnsi="宋体" w:eastAsia="宋体"/>
                <w:b w:val="0"/>
                <w:sz w:val="18"/>
              </w:rPr>
              <w:t>儿童（自发型）</w:t>
            </w:r>
          </w:p>
        </w:tc>
        <w:tc>
          <w:tcPr>
            <w:tcW w:type="dxa" w:w="2351"/>
            <w:tcMar>
              <w:top w:w="30" w:type="dxa"/>
              <w:bottom w:w="30" w:type="dxa"/>
              <w:left w:w="60" w:type="dxa"/>
              <w:right w:w="60" w:type="dxa"/>
            </w:tcMar>
          </w:tcPr>
          <w:p>
            <w:pPr>
              <w:jc w:val="center"/>
            </w:pPr>
            <w:r>
              <w:rPr>
                <w:rFonts w:ascii="宋体" w:hAnsi="宋体" w:eastAsia="宋体"/>
                <w:b w:val="0"/>
                <w:sz w:val="18"/>
              </w:rPr>
              <w:t>+0.28pp</w:t>
            </w:r>
          </w:p>
        </w:tc>
        <w:tc>
          <w:tcPr>
            <w:tcW w:type="dxa" w:w="2351"/>
            <w:tcMar>
              <w:top w:w="30" w:type="dxa"/>
              <w:bottom w:w="30" w:type="dxa"/>
              <w:left w:w="60" w:type="dxa"/>
              <w:right w:w="60" w:type="dxa"/>
            </w:tcMar>
          </w:tcPr>
          <w:p>
            <w:pPr>
              <w:jc w:val="center"/>
            </w:pPr>
            <w:r>
              <w:rPr>
                <w:rFonts w:ascii="宋体" w:hAnsi="宋体" w:eastAsia="宋体"/>
                <w:b w:val="0"/>
                <w:sz w:val="18"/>
              </w:rPr>
              <w:t>PG ≈ SA</w:t>
            </w:r>
          </w:p>
        </w:tc>
      </w:tr>
      <w:tr>
        <w:tc>
          <w:tcPr>
            <w:tcW w:type="dxa" w:w="2351"/>
            <w:tcMar>
              <w:top w:w="30" w:type="dxa"/>
              <w:bottom w:w="30" w:type="dxa"/>
              <w:left w:w="60" w:type="dxa"/>
              <w:right w:w="60" w:type="dxa"/>
            </w:tcMar>
          </w:tcPr>
          <w:p>
            <w:pPr>
              <w:jc w:val="center"/>
            </w:pPr>
            <w:r>
              <w:rPr>
                <w:rFonts w:ascii="宋体" w:hAnsi="宋体" w:eastAsia="宋体"/>
                <w:b w:val="0"/>
                <w:sz w:val="18"/>
              </w:rPr>
              <w:t>IEMOCAP</w:t>
            </w:r>
          </w:p>
        </w:tc>
        <w:tc>
          <w:tcPr>
            <w:tcW w:type="dxa" w:w="2351"/>
            <w:tcMar>
              <w:top w:w="30" w:type="dxa"/>
              <w:bottom w:w="30" w:type="dxa"/>
              <w:left w:w="60" w:type="dxa"/>
              <w:right w:w="60" w:type="dxa"/>
            </w:tcMar>
          </w:tcPr>
          <w:p>
            <w:pPr>
              <w:jc w:val="center"/>
            </w:pPr>
            <w:r>
              <w:rPr>
                <w:rFonts w:ascii="宋体" w:hAnsi="宋体" w:eastAsia="宋体"/>
                <w:b w:val="0"/>
                <w:sz w:val="18"/>
              </w:rPr>
              <w:t>成人（表演型）</w:t>
            </w:r>
          </w:p>
        </w:tc>
        <w:tc>
          <w:tcPr>
            <w:tcW w:type="dxa" w:w="2351"/>
            <w:tcMar>
              <w:top w:w="30" w:type="dxa"/>
              <w:bottom w:w="30" w:type="dxa"/>
              <w:left w:w="60" w:type="dxa"/>
              <w:right w:w="60" w:type="dxa"/>
            </w:tcMar>
          </w:tcPr>
          <w:p>
            <w:pPr>
              <w:jc w:val="center"/>
            </w:pPr>
            <w:r>
              <w:rPr>
                <w:rFonts w:ascii="宋体" w:hAnsi="宋体" w:eastAsia="宋体"/>
                <w:b w:val="0"/>
                <w:sz w:val="18"/>
              </w:rPr>
              <w:t>−0.62pp</w:t>
            </w:r>
          </w:p>
        </w:tc>
        <w:tc>
          <w:tcPr>
            <w:tcW w:type="dxa" w:w="2351"/>
            <w:tcMar>
              <w:top w:w="30" w:type="dxa"/>
              <w:bottom w:w="30" w:type="dxa"/>
              <w:left w:w="60" w:type="dxa"/>
              <w:right w:w="60" w:type="dxa"/>
            </w:tcMar>
          </w:tcPr>
          <w:p>
            <w:pPr>
              <w:jc w:val="center"/>
            </w:pPr>
            <w:r>
              <w:rPr>
                <w:rFonts w:ascii="宋体" w:hAnsi="宋体" w:eastAsia="宋体"/>
                <w:b w:val="0"/>
                <w:sz w:val="18"/>
              </w:rPr>
              <w:t>PG &gt; SA（轻微）</w:t>
            </w:r>
          </w:p>
        </w:tc>
      </w:tr>
    </w:tbl>
    <w:p/>
    <w:p>
      <w:r>
        <w:rPr>
          <w:b w:val="0"/>
          <w:i w:val="0"/>
          <w:sz w:val="22"/>
        </w:rPr>
        <w:t>差距幅度（0.01-0.62个百分点）在测量值的一个标准差范围内或接近，表明韵律先验最佳描述为人群中性并略呈正向倾向。此前无工作在匹配参数预算下系统比较韵律引导注意力池化跨儿童与成人群体的表现，使得本文成为首个此类跨人群评估。这一发现推翻了两项常见假设：（i）韵律先验对儿童更有益（由于更高的F0变异性），以及（ii）韵律先验对成人有害（由于与SSL特征信息冗余）。相反，数据表明WavLM的中上层（L7-L11）已为两种人群编码了足够的韵律信息，使得显式韵律先验成为一个温和正则化器，而非改变游戏规则的归纳偏差。</w:t>
      </w:r>
    </w:p>
    <w:p>
      <w:r>
        <w:rPr>
          <w:b w:val="0"/>
          <w:i w:val="0"/>
          <w:sz w:val="22"/>
        </w:rPr>
        <w:t>我们通过注意力-韵律相关性（APC）分析进一步支持这一解释。对韵律引导模型，在540个C-BESD测试样本上，帧级注意力权重与帧级声学能量之间的皮尔逊相关系数APC_wav = 0.7406 ± 0.1087。PG与SA注意力-韵律相关性的差值 APC_Δ = −0.0450 ± 0.0891。负的APC_Δ表明，PG减少了相对于纯自注意力的冗余注意力-能量相关性——显式韵律信号使注意力与SSL特征中已有的隐式韵律去相关，抵消了其引入的冗余。</w:t>
      </w:r>
    </w:p>
    <w:p>
      <w:pPr>
        <w:pStyle w:val="Heading2"/>
      </w:pPr>
      <w:r>
        <w:t>5.3 发现三：成人增广不可迁移</w:t>
      </w:r>
    </w:p>
    <w:p>
      <w:r>
        <w:rPr>
          <w:b w:val="0"/>
          <w:i w:val="0"/>
          <w:sz w:val="22"/>
        </w:rPr>
        <w:t>初步E4结果（v5协议）提供了明确证据，表明用成人语音增广儿童训练数据具有主动危害。将IEMOCAP成人语音加入C-BESD训练（C2）使WA下降30.63个百分点（81.24% → 50.61%），是仅次于极端增广（−34.74个百分点）的第二有害条件。儿童匹配的AWGN（C3）危害较小（−21.35个百分点），确认了成人语音的分布不匹配比受控噪声注入更具破坏性。</w:t>
      </w:r>
    </w:p>
    <w:p>
      <w:r>
        <w:rPr>
          <w:b w:val="0"/>
          <w:i w:val="0"/>
          <w:sz w:val="22"/>
        </w:rPr>
        <w:t>这一发现具有明确的实践含义：不要用成人语音增广儿童SER训练数据。我们将其与更广泛的跨年龄迁移退化文献区分开来：虽然前期工作报告成人到儿童的SER迁移最多达到F-score 0.47 [Lesyk et al., 2024]（确认在成人语音上训练的模型在儿童上退化），我们的发现更进一步——将成人数据添加到儿童训练中，实际上损害域内性能至低于任一人群独立达到的水平。增广源与目标语料库之间的FD提供了预测预期退化的预增广诊断指标。</w:t>
      </w:r>
    </w:p>
    <w:p>
      <w:pPr>
        <w:pStyle w:val="Heading2"/>
      </w:pPr>
      <w:r>
        <w:t>5.4 发现四：一致的中上层偏好</w:t>
      </w:r>
    </w:p>
    <w:p>
      <w:r>
        <w:rPr>
          <w:b w:val="0"/>
          <w:i w:val="0"/>
          <w:sz w:val="22"/>
        </w:rPr>
        <w:t>E1-02（C-BESD，自注意力）检查点学习到的层融合权重显示，L7-L11层权重最高（峰值位于较宽的中层平台内），且所有12层的分布接近均匀（熵 = 2.484，理论最大值 log 12 ≈ 2.485）。权重范围为0.04-0.16，表明虽然所有层均有贡献，但中上层被系统地偏好。此模式与前期发现一致，即WavLM第7-11层编码最具可迁移性的副语言表征 [Pasad et al., 2021; Upadhyay et al., 2024; Chiu et al., 2025]，并将此结论扩展至儿童语音——此前逐层探测研究未曾分析的人群。</w:t>
      </w:r>
    </w:p>
    <w:p>
      <w:r>
        <w:rPr>
          <w:b w:val="0"/>
          <w:i w:val="0"/>
          <w:sz w:val="22"/>
        </w:rPr>
        <w:t>FAU和IEMOCAP的层权重分布，待其各自的E1检查点（含层融合）完成后补充。基于C-BESD的模式，我们假设中上层偏好（L7-L11）在人群间具有普遍性，语料库特定的变化仅体现在该平台内精确的argmax位置。</w:t>
      </w:r>
    </w:p>
    <w:p>
      <w:pPr>
        <w:pStyle w:val="Heading2"/>
      </w:pPr>
      <w:r>
        <w:t>5.5 发现五：t-SNE特征空间可视化</w:t>
      </w:r>
    </w:p>
    <w:p>
      <w:r>
        <w:rPr>
          <w:b w:val="0"/>
          <w:i w:val="0"/>
          <w:sz w:val="22"/>
        </w:rPr>
        <w:t>为定性评估分布驱动管道如何变换特征空间，我们对完整管道前后倒数第二分类器层（128维）应用t-SNE [van der Maaten &amp; Hinton, 2008]。借鉴Neumann与Vu [2019] 的工作（他们对SER的注意力CNN的最后一层隐藏层进行了可视化），我们比较：之前——原始冻结WavLM末层输出（768维，均值池化）；之后——完整管道输出（WavLM → LayerFusion → Pooling → SE-MLP倒数第二层128维）。所有投影使用困惑度30和分层每类采样（每个数据集2,000个样本）。</w:t>
      </w:r>
    </w:p>
    <w:p>
      <w:r>
        <w:rPr>
          <w:b w:val="0"/>
          <w:i w:val="0"/>
          <w:sz w:val="22"/>
        </w:rPr>
        <w:t>原文图4展示了3×2的t-SNE网格。三种模式呈现如下：（1）C-BESD（WA≈91.87%），之前面板显示模糊、重叠的簇，而之后面板揭示了六个良好分离的情绪簇，确认管道显著提高了表演型儿童语音的特征判别能力。（2）FAU Aibo（WA≈67.05%, UAR≈42.92%），中性类即使在管道处理后仍散布于所有区域，直观地佐证了巨大的WA-UAR差距：多数类别的边界被捕获，但少数类别难以形成紧凑簇。（3）IEMOCAP（WA≈63.76%），管道将分散的原始特征转化为中等结构化的簇，但分离度仍弱于C-BESD，与跨人群FD差距一致。</w:t>
      </w:r>
    </w:p>
    <w:p>
      <w:r>
        <w:rPr>
          <w:b w:val="0"/>
          <w:i w:val="0"/>
          <w:sz w:val="22"/>
        </w:rPr>
        <w:t>据我们所知，这是在分布驱动管道下对儿童语音情绪特征进行的首次t-SNE可视化。</w:t>
      </w:r>
    </w:p>
    <w:p>
      <w:pPr>
        <w:pStyle w:val="Heading2"/>
      </w:pPr>
      <w:r>
        <w:t>5.6 局限性</w:t>
      </w:r>
    </w:p>
    <w:p>
      <w:r>
        <w:rPr>
          <w:b w:val="0"/>
          <w:i w:val="0"/>
          <w:sz w:val="22"/>
        </w:rPr>
        <w:t>我们识别出四项限制我们结论的局限性。第一，实验覆盖范围仅限于一个SSL骨干网络（WavLM）和一个分类器架构（SE-MLP）；与HuBERT、data2vec或wav2vec 2.0的更广泛比较留待未来工作。第二，C-BESD缺乏儿童年龄元数据，无法在儿童人群内按年龄组进行细粒度发展分析。第三，FD测量依赖于表征：相同语料库在不同SSL骨干网络下可能产生不同的FD值，这限制了FD作为绝对诊断工具的用途，而更适合作为相对诊断工具。第四，全部三个数据集均来自WEIRD（西方、高学历、工业化、富裕、民主）人群；跨文化儿童SER——特别是针对声调语言和非西方情绪表达规范的——尚未被探索。</w:t>
      </w:r>
    </w:p>
    <w:p>
      <w:pPr>
        <w:pStyle w:val="Heading1"/>
      </w:pPr>
      <w:r>
        <w:t>6. 结论</w:t>
      </w:r>
    </w:p>
    <w:p>
      <w:r>
        <w:rPr>
          <w:b w:val="0"/>
          <w:i w:val="0"/>
          <w:sz w:val="22"/>
        </w:rPr>
        <w:t>我们呈现了一项全面的分布驱动儿童语音情绪识别实验研究，涵盖67个受控实验配置，跨越三个数据集、三种池化策略和七个实验系列。我们的结果并非宣称某个单一通用最优架构，而是确立了特定设计选择对儿童SER何时以及为何重要。</w:t>
      </w:r>
    </w:p>
    <w:p>
      <w:r>
        <w:rPr>
          <w:b/>
          <w:i w:val="0"/>
          <w:sz w:val="22"/>
        </w:rPr>
        <w:t>本研究表明：</w:t>
      </w:r>
    </w:p>
    <w:p>
      <w:r>
        <w:rPr>
          <w:b w:val="0"/>
          <w:i w:val="0"/>
          <w:sz w:val="22"/>
        </w:rPr>
        <w:t>训练与部署语料库之间的统计分布差距——通过WavLM特征空间中的Fréchet Distance量化——是支配SER准确率的主导因素。FD-WA单调关系在年龄、风格、增广和语言维度上均成立，为在训练前预测跨语料库性能提供了定量诊断工具。</w:t>
      </w:r>
    </w:p>
    <w:p>
      <w:r>
        <w:rPr>
          <w:b/>
          <w:i w:val="0"/>
          <w:sz w:val="22"/>
        </w:rPr>
        <w:t>决定性证据来自四项汇聚的发现：</w:t>
      </w:r>
    </w:p>
    <w:p>
      <w:r>
        <w:rPr>
          <w:b w:val="0"/>
          <w:i w:val="0"/>
          <w:sz w:val="22"/>
        </w:rPr>
        <w:t>（1）韵律引导池化具有人群中性（SA−PG：三种人群中+0.01至−0.62个百分点，处于测量噪声范围内），而非此前假设的儿童特异性；（2）用成人语音增广儿童数据导致灾难性退化（C-BESD上−30.6个百分点）；（3）零样本跨语料库迁移一致失败（最高跨语料库WA = 33.67%）；（4）WavLM中上层（L7-L11，峰值位于较宽的中层平台内）在人群间获得最高融合权重，层贡献接近均匀分布（熵2.48/2.49）。</w:t>
      </w:r>
    </w:p>
    <w:p>
      <w:r>
        <w:rPr>
          <w:b/>
          <w:i w:val="0"/>
          <w:sz w:val="22"/>
        </w:rPr>
        <w:t>更广泛的启示是：</w:t>
      </w:r>
    </w:p>
    <w:p>
      <w:r>
        <w:rPr>
          <w:b w:val="0"/>
          <w:i w:val="0"/>
          <w:sz w:val="22"/>
        </w:rPr>
        <w:t>儿童SER不能被视为"高音调版的成人SER"。它需要语料库设计、增广策略和架构先验显式匹配目标儿童人群。分布意识应从事后诊断提升为首要设计约束。</w:t>
      </w:r>
    </w:p>
    <w:p>
      <w:r>
        <w:rPr>
          <w:b/>
          <w:i w:val="0"/>
          <w:sz w:val="22"/>
        </w:rPr>
        <w:t>边界条件：</w:t>
      </w:r>
    </w:p>
    <w:p>
      <w:r>
        <w:rPr>
          <w:b w:val="0"/>
          <w:i w:val="0"/>
          <w:sz w:val="22"/>
        </w:rPr>
        <w:t>我们的结论基于三个语言和文化多样性有限的数据集（英语+泰卢固语双语、德语、英语）。向声调语言、非WEIRD儿童人群以及临床儿科语音（如自闭症谱系、言语声音障碍）的推广需要进一步验证。FD诊断工具虽然在基于WavLM的框架内有效，但在替代SSL骨干网络下可能产生不同的绝对值。</w:t>
      </w:r>
    </w:p>
    <w:p>
      <w:r>
        <w:rPr>
          <w:b w:val="0"/>
          <w:i w:val="0"/>
          <w:sz w:val="22"/>
        </w:rPr>
        <w:t>所有实验配置、模型检查点和评估代码将在接收后公开发布，以促进可复现的儿童SER研究。</w:t>
      </w:r>
    </w:p>
    <w:p>
      <w:pPr>
        <w:pStyle w:val="Heading1"/>
      </w:pPr>
      <w:r>
        <w:t>参考文献</w:t>
      </w:r>
    </w:p>
    <w:p>
      <w:pPr>
        <w:spacing w:after="40"/>
      </w:pPr>
      <w:r>
        <w:rPr>
          <w:b w:val="0"/>
          <w:i w:val="0"/>
          <w:sz w:val="18"/>
        </w:rPr>
        <w:t>[1] A. Batliner, S. Steidl, and E. Nöth, "Releasing a thoroughly annotated and processed spontaneous emotional database: the FAU Aibo emotion corpus," in Proc. LREC Workshop on Emotion, 2011.</w:t>
      </w:r>
    </w:p>
    <w:p>
      <w:pPr>
        <w:spacing w:after="40"/>
      </w:pPr>
      <w:r>
        <w:rPr>
          <w:b w:val="0"/>
          <w:i w:val="0"/>
          <w:sz w:val="18"/>
        </w:rPr>
        <w:t>[2] C. Busso et al., "IEMOCAP: interactive emotional dyadic motion capture database," Language Resources and Evaluation, vol. 42, no. 4, pp. 335–359, 2008.</w:t>
      </w:r>
    </w:p>
    <w:p>
      <w:pPr>
        <w:spacing w:after="40"/>
      </w:pPr>
      <w:r>
        <w:rPr>
          <w:b w:val="0"/>
          <w:i w:val="0"/>
          <w:sz w:val="18"/>
        </w:rPr>
        <w:t>[3] S. Chen et al., "WavLM: Large-scale self-supervised pre-training for full stack speech processing," IEEE J. Sel. Topics Signal Process., vol. 16, no. 6, pp. 1505–1518, 2022.</w:t>
      </w:r>
    </w:p>
    <w:p>
      <w:pPr>
        <w:spacing w:after="40"/>
      </w:pPr>
      <w:r>
        <w:rPr>
          <w:b w:val="0"/>
          <w:i w:val="0"/>
          <w:sz w:val="18"/>
        </w:rPr>
        <w:t>[4] G. Wu et al., "Robustness of SER models to SNR degradation," in Proc. Interspeech, 2024.</w:t>
      </w:r>
    </w:p>
    <w:p>
      <w:pPr>
        <w:spacing w:after="40"/>
      </w:pPr>
      <w:r>
        <w:rPr>
          <w:b w:val="0"/>
          <w:i w:val="0"/>
          <w:sz w:val="18"/>
        </w:rPr>
        <w:t>[5] M. Heusel et al., "GANs trained by a two time-scale update rule converge to a local Nash equilibrium," in Proc. NeurIPS, 2017.</w:t>
      </w:r>
    </w:p>
    <w:p>
      <w:pPr>
        <w:spacing w:after="40"/>
      </w:pPr>
      <w:r>
        <w:rPr>
          <w:b w:val="0"/>
          <w:i w:val="0"/>
          <w:sz w:val="18"/>
        </w:rPr>
        <w:t>[6] W.-N. Hsu et al., "HuBERT: Self-supervised speech representation learning by masked prediction of hidden units," IEEE/ACM Trans. Audio, Speech, Lang. Process., vol. 29, pp. 3451–3460, 2021.</w:t>
      </w:r>
    </w:p>
    <w:p>
      <w:pPr>
        <w:spacing w:after="40"/>
      </w:pPr>
      <w:r>
        <w:rPr>
          <w:b w:val="0"/>
          <w:i w:val="0"/>
          <w:sz w:val="18"/>
        </w:rPr>
        <w:t>[7] J. Hu, L. Shen, and G. Sun, "Squeeze-and-excitation networks," in Proc. CVPR, 2018.</w:t>
      </w:r>
    </w:p>
    <w:p>
      <w:pPr>
        <w:spacing w:after="40"/>
      </w:pPr>
      <w:r>
        <w:rPr>
          <w:b w:val="0"/>
          <w:i w:val="0"/>
          <w:sz w:val="18"/>
        </w:rPr>
        <w:t>[8] S. Latif et al., "Cross-corpus speech emotion recognition: a survey," arXiv preprint, 2024.</w:t>
      </w:r>
    </w:p>
    <w:p>
      <w:pPr>
        <w:spacing w:after="40"/>
      </w:pPr>
      <w:r>
        <w:rPr>
          <w:b w:val="0"/>
          <w:i w:val="0"/>
          <w:sz w:val="18"/>
        </w:rPr>
        <w:t>[9] D. Le et al., "Distribution shift quantification in speech representations," in Proc. ICASSP, 2024.</w:t>
      </w:r>
    </w:p>
    <w:p>
      <w:pPr>
        <w:spacing w:after="40"/>
      </w:pPr>
      <w:r>
        <w:rPr>
          <w:b w:val="0"/>
          <w:i w:val="0"/>
          <w:sz w:val="18"/>
        </w:rPr>
        <w:t>[10] S. Lee et al., "Tone production in Cantonese by age and gender groups," in Proc. Interspeech, 2007.</w:t>
      </w:r>
    </w:p>
    <w:p>
      <w:pPr>
        <w:spacing w:after="40"/>
      </w:pPr>
      <w:r>
        <w:rPr>
          <w:b w:val="0"/>
          <w:i w:val="0"/>
          <w:sz w:val="18"/>
        </w:rPr>
        <w:t>[11] V. Lesyk et al., "Adult-to-child speech emotion recognition transfer," Human-Centric Intelligent Systems, 2024.</w:t>
      </w:r>
    </w:p>
    <w:p>
      <w:pPr>
        <w:spacing w:after="40"/>
      </w:pPr>
      <w:r>
        <w:rPr>
          <w:b w:val="0"/>
          <w:i w:val="0"/>
          <w:sz w:val="18"/>
        </w:rPr>
        <w:t>[12] Z. Lin et al., "A structured self-attentive sentence embedding," in Proc. ICLR, 2017.</w:t>
      </w:r>
    </w:p>
    <w:p>
      <w:pPr>
        <w:spacing w:after="40"/>
      </w:pPr>
      <w:r>
        <w:rPr>
          <w:b w:val="0"/>
          <w:i w:val="0"/>
          <w:sz w:val="18"/>
        </w:rPr>
        <w:t>[13] Z. Ma et al., "emotion2vec: Self-supervised pre-training for speech emotion representation," in Proc. ACL, 2024.</w:t>
      </w:r>
    </w:p>
    <w:p>
      <w:pPr>
        <w:spacing w:after="40"/>
      </w:pPr>
      <w:r>
        <w:rPr>
          <w:b w:val="0"/>
          <w:i w:val="0"/>
          <w:sz w:val="18"/>
        </w:rPr>
        <w:t>[14] B. McFee et al., "librosa: Audio and music signal analysis in Python," in Proc. SciPy, 2015.</w:t>
      </w:r>
    </w:p>
    <w:p>
      <w:pPr>
        <w:spacing w:after="40"/>
      </w:pPr>
      <w:r>
        <w:rPr>
          <w:b w:val="0"/>
          <w:i w:val="0"/>
          <w:sz w:val="18"/>
        </w:rPr>
        <w:t>[15] M. Morrison et al., "Controllable neural prosody synthesis," in Proc. Interspeech, 2024.</w:t>
      </w:r>
    </w:p>
    <w:p>
      <w:pPr>
        <w:spacing w:after="40"/>
      </w:pPr>
      <w:r>
        <w:rPr>
          <w:b w:val="0"/>
          <w:i w:val="0"/>
          <w:sz w:val="18"/>
        </w:rPr>
        <w:t>[16] M. Neumann and N. T. Vu, "Cross-lingual and multilingual speech emotion recognition on English and French," in Proc. ICASSP, 2019.</w:t>
      </w:r>
    </w:p>
    <w:p>
      <w:pPr>
        <w:spacing w:after="40"/>
      </w:pPr>
      <w:r>
        <w:rPr>
          <w:b w:val="0"/>
          <w:i w:val="0"/>
          <w:sz w:val="18"/>
        </w:rPr>
        <w:t>[17] A. Pasad, J.-C. Chou, and K. Livescu, "Layer-wise analysis of a self-supervised speech representation model," in Proc. ASRU, 2021.</w:t>
      </w:r>
    </w:p>
    <w:p>
      <w:pPr>
        <w:spacing w:after="40"/>
      </w:pPr>
      <w:r>
        <w:rPr>
          <w:b w:val="0"/>
          <w:i w:val="0"/>
          <w:sz w:val="18"/>
        </w:rPr>
        <w:t>[18] O. Rozen et al., "Layer-wise fusion for speech emotion recognition," in Proc. Interspeech, 2024.</w:t>
      </w:r>
    </w:p>
    <w:p>
      <w:pPr>
        <w:spacing w:after="40"/>
      </w:pPr>
      <w:r>
        <w:rPr>
          <w:b w:val="0"/>
          <w:i w:val="0"/>
          <w:sz w:val="18"/>
        </w:rPr>
        <w:t>[19] S. S. Sazali et al., "BESD: Bilingual emotion speech database," Data in Brief, 2023.</w:t>
      </w:r>
    </w:p>
    <w:p>
      <w:pPr>
        <w:spacing w:after="40"/>
      </w:pPr>
      <w:r>
        <w:rPr>
          <w:b w:val="0"/>
          <w:i w:val="0"/>
          <w:sz w:val="18"/>
        </w:rPr>
        <w:t>[20] B. Schuller, S. Steidl, and A. Batliner, "The INTERSPEECH 2009 emotion challenge," in Proc. Interspeech, 2009.</w:t>
      </w:r>
    </w:p>
    <w:p>
      <w:pPr>
        <w:spacing w:after="40"/>
      </w:pPr>
      <w:r>
        <w:rPr>
          <w:b w:val="0"/>
          <w:i w:val="0"/>
          <w:sz w:val="18"/>
        </w:rPr>
        <w:t>[21] B. Schuller et al., "Cross-corpus acoustic emotion recognition: variances and strategies," IEEE Trans. Affective Comput., vol. 1, no. 2, pp. 119–131, 2010.</w:t>
      </w:r>
    </w:p>
    <w:p>
      <w:pPr>
        <w:spacing w:after="40"/>
      </w:pPr>
      <w:r>
        <w:rPr>
          <w:b w:val="0"/>
          <w:i w:val="0"/>
          <w:sz w:val="18"/>
        </w:rPr>
        <w:t>[22] S. Steidl, "Automatic Classification of Emotion-Related User States in Spontaneous Children's Speech," Doctoral dissertation, Logos Verlag, ISBN 978-3-8325-2145-5, 2009.</w:t>
      </w:r>
    </w:p>
    <w:p>
      <w:pPr>
        <w:spacing w:after="40"/>
      </w:pPr>
      <w:r>
        <w:rPr>
          <w:b w:val="0"/>
          <w:i w:val="0"/>
          <w:sz w:val="18"/>
        </w:rPr>
        <w:t>[23] F. Tao et al., "Spectrogram augmentation for speech emotion recognition," Entropy, vol. 27, no. 1, 2025.</w:t>
      </w:r>
    </w:p>
    <w:p>
      <w:pPr>
        <w:spacing w:after="40"/>
      </w:pPr>
      <w:r>
        <w:rPr>
          <w:b w:val="0"/>
          <w:i w:val="0"/>
          <w:sz w:val="18"/>
        </w:rPr>
        <w:t>[24] E. Tavares et al., "Normative pediatric vocal acoustic parameters," Brazilian J. Otorhinolaryngology, vol. 76, no. 4, pp. 485–490, 2010.</w:t>
      </w:r>
    </w:p>
    <w:p>
      <w:pPr>
        <w:spacing w:after="40"/>
      </w:pPr>
      <w:r>
        <w:rPr>
          <w:b w:val="0"/>
          <w:i w:val="0"/>
          <w:sz w:val="18"/>
        </w:rPr>
        <w:t>[25] A. Triantafyllopoulos et al., "Prosody-guided attention for speech emotion recognition," in Proc. Interspeech, 2023.</w:t>
      </w:r>
    </w:p>
    <w:p>
      <w:pPr>
        <w:spacing w:after="40"/>
      </w:pPr>
      <w:r>
        <w:rPr>
          <w:b w:val="0"/>
          <w:i w:val="0"/>
          <w:sz w:val="18"/>
        </w:rPr>
        <w:t>[26] L. van der Maaten and G. Hinton, "Visualizing data using t-SNE," J. Machine Learning Research, vol. 9, pp. 2579–2605, 2008.</w:t>
      </w:r>
    </w:p>
    <w:p>
      <w:pPr>
        <w:spacing w:after="40"/>
      </w:pPr>
      <w:r>
        <w:rPr>
          <w:b w:val="0"/>
          <w:i w:val="0"/>
          <w:sz w:val="18"/>
        </w:rPr>
        <w:t>[27] Y. Wu et al., "MetricAug: Metric-guided data augmentation for robust SER," in Proc. Interspeech, 2023.</w:t>
      </w:r>
    </w:p>
    <w:p>
      <w:pPr>
        <w:spacing w:after="40"/>
      </w:pPr>
      <w:r>
        <w:rPr>
          <w:b w:val="0"/>
          <w:i w:val="0"/>
          <w:sz w:val="18"/>
        </w:rPr>
        <w:t>[28] National Center for Voice and Speech (NCVS), "Normative fundamental frequency values across age and sex," NCVS Technical Reference, 2025.</w:t>
      </w:r>
    </w:p>
    <w:p>
      <w:pPr>
        <w:spacing w:after="40"/>
      </w:pPr>
      <w:r>
        <w:rPr>
          <w:b w:val="0"/>
          <w:i w:val="0"/>
          <w:sz w:val="18"/>
        </w:rPr>
        <w:t>[29] A. Upadhyay et al., "WavLM layers for speech emotion recognition," in Proc. Interspeech, 2024.</w:t>
      </w:r>
    </w:p>
    <w:p>
      <w:pPr>
        <w:spacing w:after="40"/>
      </w:pPr>
      <w:r>
        <w:rPr>
          <w:b w:val="0"/>
          <w:i w:val="0"/>
          <w:sz w:val="18"/>
        </w:rPr>
        <w:t>[30] C.-C. Chiu et al., "Large-scale probing of self-supervised speech models confirms middle-layer emotion encoding," in Proc. APSIPA ASC, 2025.</w:t>
      </w:r>
    </w:p>
    <w:p>
      <w:pPr>
        <w:spacing w:after="40"/>
      </w:pPr>
      <w:r>
        <w:rPr>
          <w:b w:val="0"/>
          <w:i w:val="0"/>
          <w:sz w:val="18"/>
        </w:rPr>
        <w:t>[31] S. Rao et al., "C-BESD: Children's bilingual emotion speech database," in Proc. IEEE INSPECT, 2024.</w:t>
      </w:r>
    </w:p>
    <w:p>
      <w:pPr>
        <w:spacing w:after="40"/>
      </w:pPr>
      <w:r>
        <w:rPr>
          <w:b w:val="0"/>
          <w:i w:val="0"/>
          <w:sz w:val="18"/>
        </w:rPr>
        <w:t>[32] K. Kilgour et al., "Fréchet audio distance: A reference-free metric for evaluating music enhancement algorithms," in Proc. Interspeech, 2018.</w:t>
      </w:r>
    </w:p>
    <w:p>
      <w:pPr>
        <w:spacing w:after="40"/>
      </w:pPr>
      <w:r>
        <w:rPr>
          <w:b w:val="0"/>
          <w:i w:val="0"/>
          <w:sz w:val="18"/>
        </w:rPr>
        <w:t>[33] J. Sun et al., "Per-emotion Fréchet audio distance via self-supervised embeddings," in Proc. Interspeech, 2024.</w:t>
      </w:r>
    </w:p>
    <w:p>
      <w:pPr>
        <w:spacing w:after="40"/>
      </w:pPr>
      <w:r>
        <w:rPr>
          <w:b w:val="0"/>
          <w:i w:val="0"/>
          <w:sz w:val="18"/>
        </w:rPr>
        <w:t>[34] Y. Chen, "Computational modeling of affect in parent-child dyadic interactions," Ph.D. dissertation, Massachusetts Institute of Technology, 2023.</w:t>
      </w:r>
    </w:p>
    <w:p>
      <w:pPr>
        <w:spacing w:after="40"/>
      </w:pPr>
      <w:r>
        <w:rPr>
          <w:b w:val="0"/>
          <w:i w:val="0"/>
          <w:sz w:val="18"/>
        </w:rPr>
        <w:t>[35] A. Kao, M. D. Sera, and Y. Zhang, "Prosodic features guide infant attention to emotion in speech," Journal of Speech, Language, and Hearing Research, vol. 65, no. 9, pp. 3264–3278, 2022.</w:t>
      </w:r>
    </w:p>
    <w:p>
      <w:pPr>
        <w:spacing w:after="40"/>
      </w:pPr>
      <w:r>
        <w:rPr>
          <w:b w:val="0"/>
          <w:i w:val="0"/>
          <w:sz w:val="18"/>
        </w:rPr>
        <w:t>[36] Y. Fan and A. Alwan, "DRAFT: Disentangled representation adaptation for child speech recognition," IEEE J. Sel. Topics Signal Process., vol. 17, no. 6, pp. 1250–1263, 2023.</w:t>
      </w:r>
    </w:p>
    <w:p>
      <w:pPr>
        <w:spacing w:after="40"/>
      </w:pPr>
      <w:r>
        <w:rPr>
          <w:b w:val="0"/>
          <w:i w:val="0"/>
          <w:sz w:val="18"/>
        </w:rPr>
        <w:t>[37] L. Meng et al., "Data bias in self-supervised speech pretraining: A large-scale analysis," in Proc. ICASSP / AAAI-SAS Workshop, 2022.</w:t>
      </w:r>
    </w:p>
    <w:p>
      <w:pPr>
        <w:spacing w:after="40"/>
      </w:pPr>
      <w:r>
        <w:rPr>
          <w:b w:val="0"/>
          <w:i w:val="0"/>
          <w:sz w:val="18"/>
        </w:rPr>
        <w:t>[38] E. Vaaras et al., "Speech emotion recognition from NICU infant recordings using self-supervised representations," Speech Communication, vol. 148, pp. 9–22,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