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−2.12 个百分点），提示韵律引导的有效性与说话人年龄及情绪产生方式两个因素相关。逐类注意力分析显示注意力熵与分类准确率呈负相关趋势。所有实验均采用严格的说话人独立划分与多种子验证。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个百分点。B3（+Adapter+韵律池化）的均值最高（81.5%），但其相较 A3 的边际增益（约 0.6 个百分点）小于运行间方差（std=1.1），且引入额外约 30 万参数。因此本文以 A3 为推荐模型，兼顾性能、参数量和稳定性。</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观察：（1）在 C-BESD 和 CREMA-D 上，韵律池化均表现为正向增益，且儿童获益远大于成人（+2.24 vs +0.75 个百分点）。（2）在 IEMOCAP 6 类上韵律池化小幅为负（−2.12 个百分点），但在 IEMOCAP 4 类子集上转为正向（+1.02 个百分点）。这表明 6 类结果中的负向效果主要来自 DISGUST 和 FEAR 两个难类，而非"自然对话"本身——这两个情绪类别在自然对话中更难被韵律特征区分。</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IEMOCAP（成人）</w:t>
            </w:r>
          </w:p>
        </w:tc>
        <w:tc>
          <w:tcPr>
            <w:tcW w:type="dxa" w:w="2075"/>
          </w:tcPr>
          <w:p>
            <w:pPr>
              <w:jc w:val="center"/>
            </w:pPr>
            <w:r>
              <w:rPr>
                <w:sz w:val="20"/>
              </w:rPr>
              <w:t>232</w:t>
            </w:r>
          </w:p>
        </w:tc>
        <w:tc>
          <w:tcPr>
            <w:tcW w:type="dxa" w:w="2075"/>
          </w:tcPr>
          <w:p>
            <w:pPr>
              <w:jc w:val="center"/>
            </w:pPr>
            <w:r>
              <w:rPr>
                <w:sz w:val="20"/>
              </w:rPr>
              <w:t>—</w:t>
            </w:r>
          </w:p>
        </w:tc>
        <w:tc>
          <w:tcPr>
            <w:tcW w:type="dxa" w:w="2075"/>
          </w:tcPr>
          <w:p>
            <w:pPr>
              <w:jc w:val="center"/>
            </w:pPr>
            <w:r>
              <w:rPr>
                <w:sz w:val="20"/>
              </w:rPr>
              <w:t>0.020</w:t>
            </w:r>
          </w:p>
        </w:tc>
      </w:tr>
    </w:tbl>
    <w:p/>
    <w:p>
      <w:r>
        <w:t>注：C-BESD F0 均值（1068 Hz）严重受 YIN 算法在 fmax=2093 Hz 处的 spurious 检测影响，中位数（340 Hz）是更可靠的集中趋势度量。儿童 F0 中位数约为成人的 1.5 倍，且方差更大，为"儿童韵律的高变异性使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A3。跨数据集对比表明韵律池化收益与说话人年龄和情绪产生方式两个因素相关——在儿童指定表达语音上增益最明显，在成人自然对话上效果为负。在观察到的年龄、增强、语言三类偏移中，FD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