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References</w:t>
      </w:r>
    </w:p>
    <w:p>
      <w:pPr>
        <w:pStyle w:val="BodyText"/>
        <w:bidi w:val="0"/>
        <w:jc w:val="left"/>
        <w:rPr/>
      </w:pPr>
      <w:r>
        <w:rPr/>
      </w:r>
    </w:p>
    <w:p>
      <w:pPr>
        <w:pStyle w:val="BodyText"/>
        <w:bidi w:val="0"/>
        <w:jc w:val="left"/>
        <w:rPr/>
      </w:pPr>
      <w:r>
        <w:rPr/>
        <w:t xml:space="preserve">All figures were </w:t>
      </w:r>
      <w:r>
        <w:rPr>
          <w:b/>
          <w:bCs/>
          <w:u w:val="single"/>
        </w:rPr>
        <w:t>drawn by hand</w:t>
      </w:r>
      <w:r>
        <w:rPr>
          <w:b w:val="false"/>
          <w:bCs w:val="false"/>
          <w:u w:val="none"/>
        </w:rPr>
        <w:t xml:space="preserve"> </w:t>
      </w:r>
      <w:r>
        <w:rPr>
          <w:b w:val="false"/>
          <w:bCs w:val="false"/>
          <w:u w:val="none"/>
        </w:rPr>
        <w:t xml:space="preserve">using </w:t>
      </w:r>
      <w:r>
        <w:rPr>
          <w:b/>
          <w:bCs/>
          <w:u w:val="none"/>
        </w:rPr>
        <w:t>krita</w:t>
      </w:r>
    </w:p>
    <w:p>
      <w:pPr>
        <w:pStyle w:val="BodyText"/>
        <w:bidi w:val="0"/>
        <w:jc w:val="left"/>
        <w:rPr/>
      </w:pPr>
      <w:r>
        <w:rPr/>
      </w:r>
    </w:p>
    <w:p>
      <w:pPr>
        <w:pStyle w:val="BodyText"/>
        <w:bidi w:val="0"/>
        <w:jc w:val="left"/>
        <w:rPr>
          <w:b/>
          <w:bCs/>
        </w:rPr>
      </w:pPr>
      <w:r>
        <w:rPr>
          <w:b/>
          <w:bCs/>
        </w:rPr>
        <w:t>Pathenogenesis:</w:t>
      </w:r>
    </w:p>
    <w:p>
      <w:pPr>
        <w:pStyle w:val="BodyText"/>
        <w:bidi w:val="0"/>
        <w:jc w:val="left"/>
        <w:rPr/>
      </w:pPr>
      <w:r>
        <w:rPr/>
        <w:t xml:space="preserve">Puckett, Y., Wilson, A.M., Farci, F. </w:t>
      </w:r>
      <w:r>
        <w:rPr>
          <w:rStyle w:val="Emphasis"/>
        </w:rPr>
        <w:t>et al.</w:t>
      </w:r>
      <w:r>
        <w:rPr/>
        <w:t xml:space="preserve"> (2024) </w:t>
      </w:r>
      <w:r>
        <w:rPr>
          <w:rStyle w:val="Emphasis"/>
        </w:rPr>
        <w:t>Melanoma pathology</w:t>
      </w:r>
      <w:r>
        <w:rPr/>
        <w:t xml:space="preserve">. In: StatPearls [Internet]. Treasure Island (FL): StatPearls Publishing. Available at: </w:t>
      </w:r>
      <w:r>
        <w:rPr>
          <w:rStyle w:val="Hyperlink"/>
        </w:rPr>
        <w:t>https://www.ncbi.nlm.nih.gov/books/NBK459367/</w:t>
      </w:r>
    </w:p>
    <w:p>
      <w:pPr>
        <w:pStyle w:val="BodyText"/>
        <w:bidi w:val="0"/>
        <w:jc w:val="left"/>
        <w:rPr/>
      </w:pPr>
      <w:r>
        <w:rPr/>
        <w:t xml:space="preserve">Strashilov, S. and Yordanov, A. (2021) ‘Aetiology and pathogenesis of cutaneous melanoma: Current concepts and advances’, </w:t>
      </w:r>
      <w:r>
        <w:rPr>
          <w:rStyle w:val="Emphasis"/>
        </w:rPr>
        <w:t>International Journal of Molecular Sciences</w:t>
      </w:r>
      <w:r>
        <w:rPr/>
        <w:t xml:space="preserve">, 22(12), p.6395. </w:t>
      </w:r>
      <w:r>
        <w:rPr>
          <w:rStyle w:val="Hyperlink"/>
        </w:rPr>
        <w:t>doi:10.3390/ijms22126395.</w:t>
      </w:r>
    </w:p>
    <w:p>
      <w:pPr>
        <w:pStyle w:val="BodyText"/>
        <w:bidi w:val="0"/>
        <w:jc w:val="left"/>
        <w:rPr/>
      </w:pPr>
      <w:r>
        <w:rPr/>
        <w:t xml:space="preserve">Passarelli, A., Mannavola, F., Stucci, L.S., Tucci, M. and Silvestris, F. (2017) ‘Immune system and melanoma biology: a balance between immunosurveillance and immune escape’, </w:t>
      </w:r>
      <w:r>
        <w:rPr>
          <w:rStyle w:val="Emphasis"/>
        </w:rPr>
        <w:t>Oncotarget</w:t>
      </w:r>
      <w:r>
        <w:rPr/>
        <w:t>, 8(62), pp. 106132–106142. doi:10.18632/oncotarget.22190.</w:t>
      </w:r>
    </w:p>
    <w:p>
      <w:pPr>
        <w:pStyle w:val="BodyText"/>
        <w:bidi w:val="0"/>
        <w:jc w:val="left"/>
        <w:rPr>
          <w:b/>
          <w:bCs/>
        </w:rPr>
      </w:pPr>
      <w:r>
        <w:rPr>
          <w:b/>
          <w:bCs/>
        </w:rPr>
        <w:t>Biomarkers:</w:t>
      </w:r>
    </w:p>
    <w:p>
      <w:pPr>
        <w:pStyle w:val="BodyText"/>
        <w:bidi w:val="0"/>
        <w:jc w:val="left"/>
        <w:rPr/>
      </w:pPr>
      <w:r>
        <w:rPr/>
        <w:t xml:space="preserve">Weide, B., Elsässer, M. and Büttner, P. </w:t>
      </w:r>
      <w:r>
        <w:rPr>
          <w:rStyle w:val="Emphasis"/>
        </w:rPr>
        <w:t>et al.</w:t>
      </w:r>
      <w:r>
        <w:rPr/>
        <w:t xml:space="preserve"> (2012) ‘Serum markers lactate dehydrogenase and S100B predict independently disease outcome in melanoma patients with distant metastasis’, </w:t>
      </w:r>
      <w:r>
        <w:rPr>
          <w:rStyle w:val="Emphasis"/>
        </w:rPr>
        <w:t>British Journal of Cancer</w:t>
      </w:r>
      <w:r>
        <w:rPr/>
        <w:t xml:space="preserve">, 107(3), pp. 422–428. </w:t>
      </w:r>
      <w:r>
        <w:rPr>
          <w:rStyle w:val="Hyperlink"/>
        </w:rPr>
        <w:t>doi:10.1038/bjc.2012.306.</w:t>
      </w:r>
    </w:p>
    <w:p>
      <w:pPr>
        <w:pStyle w:val="BodyText"/>
        <w:bidi w:val="0"/>
        <w:jc w:val="left"/>
        <w:rPr/>
      </w:pPr>
      <w:r>
        <w:rPr/>
        <w:t xml:space="preserve">Hartman, M.L. and Czyz, M. (2015) ‘MITF in melanoma: mechanisms behind its expression and activity’, </w:t>
      </w:r>
      <w:r>
        <w:rPr>
          <w:rStyle w:val="Emphasis"/>
        </w:rPr>
        <w:t>Cellular and Molecular Life Sciences</w:t>
      </w:r>
      <w:r>
        <w:rPr/>
        <w:t xml:space="preserve">, 72(7), pp. 1249–1260. </w:t>
      </w:r>
      <w:r>
        <w:rPr>
          <w:rStyle w:val="Hyperlink"/>
        </w:rPr>
        <w:t>doi:10.1007/s00018-014-1791-0.</w:t>
      </w:r>
    </w:p>
    <w:p>
      <w:pPr>
        <w:pStyle w:val="BodyText"/>
        <w:bidi w:val="0"/>
        <w:jc w:val="left"/>
        <w:rPr/>
      </w:pPr>
      <w:r>
        <w:rPr/>
        <w:t xml:space="preserve">Deacon, D.C., Smith, E.A. and Judson-Torres, R.L. (2021) ‘Molecular biomarkers for melanoma screening, diagnosis and prognosis: Current state and future prospects’, </w:t>
      </w:r>
      <w:r>
        <w:rPr>
          <w:rStyle w:val="Emphasis"/>
        </w:rPr>
        <w:t>Frontiers in Medicine (Lausanne)</w:t>
      </w:r>
      <w:r>
        <w:rPr/>
        <w:t xml:space="preserve">, 8, p.642380. </w:t>
      </w:r>
      <w:hyperlink r:id="rId2">
        <w:r>
          <w:rPr>
            <w:rStyle w:val="Hyperlink"/>
          </w:rPr>
          <w:t>doi:10.3389/fmed.2021.642380.</w:t>
        </w:r>
      </w:hyperlink>
    </w:p>
    <w:p>
      <w:pPr>
        <w:pStyle w:val="BodyText"/>
        <w:bidi w:val="0"/>
        <w:jc w:val="left"/>
        <w:rPr/>
      </w:pPr>
      <w:r>
        <w:rPr/>
        <w:t xml:space="preserve">Journe, F., Id Boufker, H., Van Kempen, L., Galibert, M.D., Wiedig, M., Salès, F., Theunis, A., Nonclercq, D., Frau, A., Laurent, G., Awada, A. and Ghanem, G. (2011) ‘TYRP1 mRNA expression in melanoma metastases correlates with clinical outcome’, </w:t>
      </w:r>
      <w:r>
        <w:rPr>
          <w:rStyle w:val="Emphasis"/>
        </w:rPr>
        <w:t>British Journal of Cancer</w:t>
      </w:r>
      <w:r>
        <w:rPr/>
        <w:t xml:space="preserve">, 105(11), pp. 1726–1732. </w:t>
      </w:r>
      <w:hyperlink r:id="rId3">
        <w:r>
          <w:rPr>
            <w:rStyle w:val="Hyperlink"/>
          </w:rPr>
          <w:t>doi:10.1038/bjc.2011.451.</w:t>
        </w:r>
      </w:hyperlink>
    </w:p>
    <w:p>
      <w:pPr>
        <w:pStyle w:val="BodyText"/>
        <w:bidi w:val="0"/>
        <w:jc w:val="left"/>
        <w:rPr/>
      </w:pPr>
      <w:r>
        <w:rPr/>
        <w:t xml:space="preserve">Wilting, S.M. and van der Veldt, A.A.M. (2025) ‘Circulating tumour DNA and melanoma: time to take the leap?’, </w:t>
      </w:r>
      <w:r>
        <w:rPr>
          <w:rStyle w:val="Emphasis"/>
        </w:rPr>
        <w:t>The Lancet Oncology</w:t>
      </w:r>
      <w:r>
        <w:rPr/>
        <w:t>, 26(5).</w:t>
      </w:r>
    </w:p>
    <w:p>
      <w:pPr>
        <w:pStyle w:val="BodyText"/>
        <w:bidi w:val="0"/>
        <w:spacing w:before="0" w:after="140"/>
        <w:jc w:val="left"/>
        <w:rPr/>
      </w:pPr>
      <w:r>
        <w:rPr/>
        <w:t xml:space="preserve">Lim, S.Y., Boyd, S.C., Diefenbach, R.J. and Rizos, H. (2025) ‘Circulating microRNAs: functional biomarkers for melanoma prognosis and treatment’, </w:t>
      </w:r>
      <w:r>
        <w:rPr>
          <w:rStyle w:val="Emphasis"/>
        </w:rPr>
        <w:t>Molecular Cancer</w:t>
      </w:r>
      <w:r>
        <w:rPr/>
        <w:t>, 24(1), p.99. doi:10.1186/s12943-025-02298-7.</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AU" w:eastAsia="zh-CN" w:bidi="hi-IN"/>
    </w:rPr>
  </w:style>
  <w:style w:type="character" w:styleId="Emphasis">
    <w:name w:val="Emphasis"/>
    <w:qFormat/>
    <w:rPr>
      <w:i/>
      <w:iCs/>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Heading"/>
    <w:next w:val="BodyText"/>
    <w:qFormat/>
    <w:pPr>
      <w:jc w:val="center"/>
    </w:pPr>
    <w:rPr>
      <w:b/>
      <w:bCs/>
      <w:sz w:val="56"/>
      <w:szCs w:val="56"/>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3389/fmed.2021.642380." TargetMode="External"/><Relationship Id="rId3" Type="http://schemas.openxmlformats.org/officeDocument/2006/relationships/hyperlink" Target="https://doi.org/10.1038/bjc.2011.451."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TotalTime>
  <Application>LibreOffice/24.2.7.2$Linux_X86_64 LibreOffice_project/420$Build-2</Application>
  <AppVersion>15.0000</AppVersion>
  <Pages>1</Pages>
  <Words>268</Words>
  <Characters>1839</Characters>
  <CharactersWithSpaces>2090</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2025-08-21T20:31:52Z</dcterms:created>
  <dc:creator/>
  <dc:description/>
  <dc:language>en-AU</dc:language>
  <cp:lastModifiedBy/>
  <cp:lastPrinted>2025-08-21T20:42:15Z</cp:lastPrinted>
  <dcterms:modified xsi:type="dcterms:W3CDTF">2025-08-21T20:55:25Z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