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3"/>
        <w:spacing w:line="240" w:lineRule="auto" w:before="0" w:after="0"/>
      </w:pPr>
      <w:bookmarkStart w:name="5351-1572516097767" w:id="1"/>
      <w:bookmarkEnd w:id="1"/>
      <w:r>
        <w:rPr>
          <w:rFonts w:ascii="微软雅黑" w:hAnsi="微软雅黑" w:cs="微软雅黑" w:eastAsia="微软雅黑"/>
          <w:b w:val="true"/>
          <w:sz w:val="24"/>
        </w:rPr>
        <w:t>DASH: Dynamic, Adaptive Streaming over HTTP</w:t>
      </w:r>
    </w:p>
    <w:p>
      <w:pPr/>
      <w:bookmarkStart w:name="2679-1572516281397" w:id="2"/>
      <w:bookmarkEnd w:id="2"/>
      <w:r>
        <w:rPr/>
        <w:t>server:</w:t>
      </w:r>
    </w:p>
    <w:p>
      <w:pPr>
        <w:numPr>
          <w:ilvl w:val="0"/>
          <w:numId w:val="1"/>
        </w:numPr>
      </w:pPr>
      <w:bookmarkStart w:name="8638-1572516365976" w:id="3"/>
      <w:bookmarkEnd w:id="3"/>
      <w:r>
        <w:rPr/>
        <w:t>divides video file into multiple chunks 将视频分成多个块</w:t>
      </w:r>
    </w:p>
    <w:p>
      <w:pPr>
        <w:numPr>
          <w:ilvl w:val="0"/>
          <w:numId w:val="1"/>
        </w:numPr>
      </w:pPr>
      <w:bookmarkStart w:name="1963-1572516389200" w:id="4"/>
      <w:bookmarkEnd w:id="4"/>
      <w:r>
        <w:rPr/>
        <w:t>每个chunk以不同的rate保存并解析</w:t>
      </w:r>
    </w:p>
    <w:p>
      <w:pPr>
        <w:numPr>
          <w:ilvl w:val="0"/>
          <w:numId w:val="1"/>
        </w:numPr>
      </w:pPr>
      <w:bookmarkStart w:name="2510-1572516413884" w:id="5"/>
      <w:bookmarkEnd w:id="5"/>
      <w:r>
        <w:rPr/>
        <w:t>manifest file告示文件: provides URLs for different chunks</w:t>
      </w:r>
    </w:p>
    <w:p>
      <w:pPr/>
      <w:bookmarkStart w:name="5462-1572519880076" w:id="6"/>
      <w:bookmarkEnd w:id="6"/>
      <w:r>
        <w:rPr/>
        <w:t>client:</w:t>
      </w:r>
    </w:p>
    <w:p>
      <w:pPr>
        <w:numPr>
          <w:ilvl w:val="0"/>
          <w:numId w:val="2"/>
        </w:numPr>
      </w:pPr>
      <w:bookmarkStart w:name="4530-1572519884088" w:id="7"/>
      <w:bookmarkEnd w:id="7"/>
      <w:r>
        <w:rPr>
          <w:rFonts w:ascii="Arial" w:hAnsi="Arial" w:cs="Arial" w:eastAsia="Arial"/>
          <w:color w:val="2e3033"/>
          <w:highlight w:val="white"/>
        </w:rPr>
        <w:t>定期测量服务器到客户端的带宽</w:t>
      </w:r>
    </w:p>
    <w:p>
      <w:pPr>
        <w:numPr>
          <w:ilvl w:val="0"/>
          <w:numId w:val="2"/>
        </w:numPr>
      </w:pPr>
      <w:bookmarkStart w:name="1739-1572520001963" w:id="8"/>
      <w:bookmarkEnd w:id="8"/>
      <w:r>
        <w:rPr>
          <w:rFonts w:ascii="Arial" w:hAnsi="Arial" w:cs="Arial" w:eastAsia="Arial"/>
          <w:color w:val="2e3033"/>
          <w:highlight w:val="white"/>
        </w:rPr>
        <w:t>咨询manifest，一次请求一个块</w:t>
      </w:r>
    </w:p>
    <w:p>
      <w:pPr>
        <w:numPr>
          <w:ilvl w:val="1"/>
          <w:numId w:val="2"/>
        </w:numPr>
      </w:pPr>
      <w:bookmarkStart w:name="3840-1572520299666" w:id="9"/>
      <w:bookmarkEnd w:id="9"/>
      <w:r>
        <w:rPr>
          <w:rFonts w:ascii="Arial" w:hAnsi="Arial" w:cs="Arial" w:eastAsia="Arial"/>
          <w:color w:val="2e3033"/>
          <w:highlight w:val="white"/>
        </w:rPr>
        <w:t>选择当前带宽(bandwidth)可以承受的最大coding rate</w:t>
      </w:r>
    </w:p>
    <w:p>
      <w:pPr>
        <w:numPr>
          <w:ilvl w:val="1"/>
          <w:numId w:val="2"/>
        </w:numPr>
      </w:pPr>
      <w:bookmarkStart w:name="6698-1572520465973" w:id="10"/>
      <w:bookmarkEnd w:id="10"/>
      <w:r>
        <w:rPr>
          <w:rFonts w:ascii="Arial" w:hAnsi="Arial" w:cs="Arial" w:eastAsia="Arial"/>
          <w:color w:val="2e3033"/>
          <w:highlight w:val="white"/>
        </w:rPr>
        <w:t>允许用户使用不同的以太网接入速率流式播放具有不同编码速率的视频</w:t>
      </w:r>
    </w:p>
    <w:p>
      <w:pPr/>
      <w:bookmarkStart w:name="9112-1572520667728" w:id="11"/>
      <w:bookmarkEnd w:id="11"/>
    </w:p>
    <w:p>
      <w:pPr/>
      <w:bookmarkStart w:name="6570-1572520722054" w:id="12"/>
      <w:bookmarkEnd w:id="12"/>
      <w:r>
        <w:rPr/>
        <w:t>“intelligence” at client: client determines</w:t>
      </w:r>
    </w:p>
    <w:p>
      <w:pPr>
        <w:numPr>
          <w:ilvl w:val="0"/>
          <w:numId w:val="3"/>
        </w:numPr>
      </w:pPr>
      <w:bookmarkStart w:name="1399-1572520729300" w:id="13"/>
      <w:bookmarkEnd w:id="13"/>
      <w:r>
        <w:rPr/>
        <w:t>when to request chunk (so that buffer starvation, or overflow does not occur)</w:t>
      </w:r>
    </w:p>
    <w:p>
      <w:pPr>
        <w:numPr>
          <w:ilvl w:val="0"/>
          <w:numId w:val="3"/>
        </w:numPr>
      </w:pPr>
      <w:bookmarkStart w:name="4542-1572520730587" w:id="14"/>
      <w:bookmarkEnd w:id="14"/>
      <w:r>
        <w:rPr/>
        <w:t>what encoding rate to request (higher quality when more bandwidth available)</w:t>
      </w:r>
    </w:p>
    <w:p>
      <w:pPr>
        <w:numPr>
          <w:ilvl w:val="0"/>
          <w:numId w:val="3"/>
        </w:numPr>
      </w:pPr>
      <w:bookmarkStart w:name="7655-1572520734957" w:id="15"/>
      <w:bookmarkEnd w:id="15"/>
      <w:r>
        <w:rPr/>
        <w:t>where to request chunk (can request from URL server that is “close” to client or has high available bandwidth)</w:t>
      </w:r>
    </w:p>
    <w:p>
      <w:pPr/>
      <w:bookmarkStart w:name="5090-1572520740365" w:id="16"/>
      <w:bookmarkEnd w:id="16"/>
    </w:p>
    <w:p>
      <w:pPr>
        <w:pStyle w:val="3"/>
        <w:spacing w:line="240" w:lineRule="auto" w:before="0" w:after="0"/>
      </w:pPr>
      <w:bookmarkStart w:name="2181-1572520820458" w:id="17"/>
      <w:bookmarkEnd w:id="17"/>
      <w:r>
        <w:rPr>
          <w:rFonts w:ascii="微软雅黑" w:hAnsi="微软雅黑" w:cs="微软雅黑" w:eastAsia="微软雅黑"/>
          <w:b w:val="true"/>
          <w:sz w:val="24"/>
        </w:rPr>
        <w:t>CDN：Content distribution networks</w:t>
      </w:r>
    </w:p>
    <w:p>
      <w:pPr/>
      <w:bookmarkStart w:name="8445-1572520833443" w:id="18"/>
      <w:bookmarkEnd w:id="18"/>
      <w:r>
        <w:rPr/>
        <w:t xml:space="preserve">overview: </w:t>
      </w:r>
    </w:p>
    <w:p>
      <w:pPr/>
      <w:bookmarkStart w:name="9730-1572521027036" w:id="19"/>
      <w:bookmarkEnd w:id="19"/>
      <w:r>
        <w:rPr/>
        <w:t>store/serve multiple copies of videos at multiple geographically distributed sites</w:t>
      </w:r>
    </w:p>
    <w:p>
      <w:pPr/>
      <w:bookmarkStart w:name="0030-1572521027576" w:id="20"/>
      <w:bookmarkEnd w:id="20"/>
    </w:p>
    <w:p>
      <w:pPr/>
      <w:bookmarkStart w:name="6058-1572521028028" w:id="21"/>
      <w:bookmarkEnd w:id="21"/>
      <w:r>
        <w:rPr/>
        <w:t>两种不同的服务器安置原则：</w:t>
      </w:r>
    </w:p>
    <w:p>
      <w:pPr>
        <w:ind w:firstLine="420"/>
      </w:pPr>
      <w:bookmarkStart w:name="7480-1572521044661" w:id="22"/>
      <w:bookmarkEnd w:id="22"/>
      <w:r>
        <w:rPr/>
        <w:t>深入(enter deep)</w:t>
      </w:r>
    </w:p>
    <w:p>
      <w:pPr>
        <w:ind w:firstLine="420"/>
      </w:pPr>
      <w:bookmarkStart w:name="3094-1572521062850" w:id="23"/>
      <w:bookmarkEnd w:id="23"/>
      <w:r>
        <w:rPr/>
        <w:t>在遍及全球的接入ISP中部署服务器集群。closer to users; used by Akami, 1700 locations</w:t>
      </w:r>
    </w:p>
    <w:p>
      <w:pPr/>
      <w:bookmarkStart w:name="9246-1572521181458" w:id="24"/>
      <w:bookmarkEnd w:id="24"/>
    </w:p>
    <w:p>
      <w:pPr>
        <w:ind w:firstLine="420"/>
      </w:pPr>
      <w:bookmarkStart w:name="9720-1572521183033" w:id="25"/>
      <w:bookmarkEnd w:id="25"/>
      <w:r>
        <w:rPr/>
        <w:t>邀请做客(bring home)</w:t>
      </w:r>
    </w:p>
    <w:p>
      <w:pPr>
        <w:ind w:firstLine="420"/>
      </w:pPr>
      <w:bookmarkStart w:name="2198-1572521187650" w:id="26"/>
      <w:bookmarkEnd w:id="26"/>
      <w:r>
        <w:rPr/>
        <w:t>在因特网交换点(IXP)放置大集群，放置量较少 used by Limelight</w:t>
      </w:r>
    </w:p>
    <w:p>
      <w:pPr/>
      <w:bookmarkStart w:name="9030-1572522047840" w:id="27"/>
      <w:bookmarkEnd w:id="27"/>
    </w:p>
    <w:p>
      <w:pPr/>
      <w:bookmarkStart w:name="6773-1572522081871" w:id="28"/>
      <w:bookmarkEnd w:id="28"/>
      <w:r>
        <w:drawing>
          <wp:inline distT="0" distR="0" distB="0" distL="0">
            <wp:extent cx="5267325" cy="2582198"/>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4"/>
                    <a:stretch>
                      <a:fillRect/>
                    </a:stretch>
                  </pic:blipFill>
                  <pic:spPr>
                    <a:xfrm>
                      <a:off x="0" y="0"/>
                      <a:ext cx="5267325" cy="2582198"/>
                    </a:xfrm>
                    <a:prstGeom prst="rect">
                      <a:avLst/>
                    </a:prstGeom>
                  </pic:spPr>
                </pic:pic>
              </a:graphicData>
            </a:graphic>
          </wp:inline>
        </w:drawing>
      </w:r>
    </w:p>
    <w:p>
      <w:pPr/>
      <w:bookmarkStart w:name="3387-1572522048550" w:id="29"/>
      <w:bookmarkEnd w:id="2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2020-02-08T08:57:45Z</dcterms:created>
  <dc:creator>Apache POI</dc:creator>
</cp:coreProperties>
</file>