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770-1572248789455" w:id="1"/>
      <w:bookmarkEnd w:id="1"/>
      <w:r>
        <w:rPr/>
        <w:t>将主机间交付扩展到进程间交付被称为 运输层的多路复用和多路分解</w:t>
      </w:r>
    </w:p>
    <w:p>
      <w:pPr/>
      <w:bookmarkStart w:name="3321-1572608407748" w:id="2"/>
      <w:bookmarkEnd w:id="2"/>
    </w:p>
    <w:p>
      <w:pPr/>
      <w:bookmarkStart w:name="3290-1572608407957" w:id="3"/>
      <w:bookmarkEnd w:id="3"/>
      <w:r>
        <w:rPr/>
        <w:t>multiplexing at sender:</w:t>
      </w:r>
    </w:p>
    <w:p>
      <w:pPr/>
      <w:bookmarkStart w:name="6443-1572250691618" w:id="4"/>
      <w:bookmarkEnd w:id="4"/>
      <w:r>
        <w:rPr/>
        <w:t>handle data from multiple sockets, add transport header (later used for demultiplexing)</w:t>
      </w:r>
    </w:p>
    <w:p>
      <w:pPr/>
      <w:bookmarkStart w:name="4997-1572250696478" w:id="5"/>
      <w:bookmarkEnd w:id="5"/>
    </w:p>
    <w:p>
      <w:pPr/>
      <w:bookmarkStart w:name="3619-1572250709818" w:id="6"/>
      <w:bookmarkEnd w:id="6"/>
      <w:r>
        <w:rPr/>
        <w:t>demultiplexing at receiver:</w:t>
      </w:r>
    </w:p>
    <w:p>
      <w:pPr/>
      <w:bookmarkStart w:name="7775-1572250699382" w:id="7"/>
      <w:bookmarkEnd w:id="7"/>
      <w:r>
        <w:rPr/>
        <w:t>use header info to deliver received segments to correct socket</w:t>
      </w:r>
    </w:p>
    <w:p>
      <w:pPr/>
      <w:bookmarkStart w:name="7391-1572251290920" w:id="8"/>
      <w:bookmarkEnd w:id="8"/>
    </w:p>
    <w:p>
      <w:pPr/>
      <w:bookmarkStart w:name="3328-1572251308850" w:id="9"/>
      <w:bookmarkEnd w:id="9"/>
      <w:r>
        <w:rPr>
          <w:b w:val="true"/>
        </w:rPr>
        <w:t>多路分解是怎样工作的？</w:t>
      </w:r>
    </w:p>
    <w:p>
      <w:pPr/>
      <w:bookmarkStart w:name="6879-1572251339904" w:id="10"/>
      <w:bookmarkEnd w:id="10"/>
      <w:r>
        <w:rPr/>
        <w:t>host主机从网络层接受IP数据报</w:t>
      </w:r>
    </w:p>
    <w:p>
      <w:pPr>
        <w:numPr>
          <w:ilvl w:val="0"/>
          <w:numId w:val="1"/>
        </w:numPr>
      </w:pPr>
      <w:bookmarkStart w:name="5241-1572251580585" w:id="11"/>
      <w:bookmarkEnd w:id="11"/>
      <w:r>
        <w:rPr/>
        <w:t>每个数据报有目的和源头IP地址</w:t>
      </w:r>
    </w:p>
    <w:p>
      <w:pPr>
        <w:numPr>
          <w:ilvl w:val="0"/>
          <w:numId w:val="1"/>
        </w:numPr>
      </w:pPr>
      <w:bookmarkStart w:name="6593-1572251609670" w:id="12"/>
      <w:bookmarkEnd w:id="12"/>
      <w:r>
        <w:rPr/>
        <w:t>每个数据报携带一个传输层的报文段(segment)</w:t>
      </w:r>
    </w:p>
    <w:p>
      <w:pPr>
        <w:numPr>
          <w:ilvl w:val="0"/>
          <w:numId w:val="1"/>
        </w:numPr>
      </w:pPr>
      <w:bookmarkStart w:name="8620-1572251693322" w:id="13"/>
      <w:bookmarkEnd w:id="13"/>
      <w:r>
        <w:rPr/>
        <w:t>每个报文段有目的和源头的端口号</w:t>
      </w:r>
    </w:p>
    <w:p>
      <w:pPr/>
      <w:bookmarkStart w:name="6963-1572251835274" w:id="14"/>
      <w:bookmarkEnd w:id="14"/>
    </w:p>
    <w:p>
      <w:pPr/>
      <w:bookmarkStart w:name="9088-1572251836350" w:id="15"/>
      <w:bookmarkEnd w:id="15"/>
      <w:r>
        <w:rPr/>
        <w:t>host使用IP地址和端口号将报文段(segment)引领到适当的套接字。</w:t>
      </w:r>
    </w:p>
    <w:p>
      <w:pPr/>
      <w:bookmarkStart w:name="2330-1572251687105" w:id="16"/>
      <w:bookmarkEnd w:id="16"/>
    </w:p>
    <w:p>
      <w:pPr/>
      <w:bookmarkStart w:name="8033-1572253218961" w:id="17"/>
      <w:bookmarkEnd w:id="17"/>
      <w:r>
        <w:rPr>
          <w:b w:val="true"/>
        </w:rPr>
        <w:t>无连接的多路分解：</w:t>
      </w:r>
    </w:p>
    <w:p>
      <w:pPr/>
      <w:bookmarkStart w:name="5667-1572253225854" w:id="18"/>
      <w:bookmarkEnd w:id="18"/>
    </w:p>
    <w:p>
      <w:pPr/>
      <w:bookmarkStart w:name="8933-1572251291314" w:id="19"/>
      <w:bookmarkEnd w:id="19"/>
      <w:r>
        <w:rPr/>
        <w:t>when host receives UDP segment:</w:t>
      </w:r>
    </w:p>
    <w:p>
      <w:pPr>
        <w:numPr>
          <w:ilvl w:val="0"/>
          <w:numId w:val="2"/>
        </w:numPr>
      </w:pPr>
      <w:bookmarkStart w:name="3028-1572252986434" w:id="20"/>
      <w:bookmarkEnd w:id="20"/>
      <w:r>
        <w:rPr/>
        <w:t>checks destination port # in segment</w:t>
      </w:r>
    </w:p>
    <w:p>
      <w:pPr>
        <w:numPr>
          <w:ilvl w:val="0"/>
          <w:numId w:val="2"/>
        </w:numPr>
      </w:pPr>
      <w:bookmarkStart w:name="5130-1572252992056" w:id="21"/>
      <w:bookmarkEnd w:id="21"/>
      <w:r>
        <w:rPr/>
        <w:t>directs UDP segment to socket with that port #</w:t>
      </w:r>
    </w:p>
    <w:p>
      <w:pPr/>
      <w:bookmarkStart w:name="1648-1572253076789" w:id="22"/>
      <w:bookmarkEnd w:id="22"/>
    </w:p>
    <w:p>
      <w:pPr/>
      <w:bookmarkStart w:name="8049-1572708313066" w:id="23"/>
      <w:bookmarkEnd w:id="23"/>
      <w:r>
        <w:rPr/>
        <w:t>UDP套接字是由二元组标识的（目的IP和目的端口）</w:t>
      </w:r>
    </w:p>
    <w:p>
      <w:pPr/>
      <w:bookmarkStart w:name="3091-1572253077608" w:id="24"/>
      <w:bookmarkEnd w:id="24"/>
      <w:r>
        <w:rPr/>
        <w:t>如果两个UDP报文段有不同的源IP地址和、或源端口号，但具有相同的目的IP地址和端口号，则这两个报文段将通过相同的目的套接字被定向到相同的目的进程。</w:t>
      </w:r>
    </w:p>
    <w:p>
      <w:pPr/>
      <w:bookmarkStart w:name="6116-1572708384648" w:id="25"/>
      <w:bookmarkEnd w:id="25"/>
      <w:r>
        <w:rPr/>
        <w:t>源端口号用作“返回地址”的一部分</w:t>
      </w:r>
    </w:p>
    <w:p>
      <w:pPr/>
      <w:bookmarkStart w:name="2254-1572253227671" w:id="26"/>
      <w:bookmarkEnd w:id="26"/>
    </w:p>
    <w:p>
      <w:pPr/>
      <w:bookmarkStart w:name="3134-1572253228296" w:id="27"/>
      <w:bookmarkEnd w:id="27"/>
      <w:r>
        <w:rPr>
          <w:b w:val="true"/>
        </w:rPr>
        <w:t>面向连接的多路分解：</w:t>
      </w:r>
    </w:p>
    <w:p>
      <w:pPr/>
      <w:bookmarkStart w:name="7812-1572253240646" w:id="28"/>
      <w:bookmarkEnd w:id="28"/>
      <w:r>
        <w:rPr/>
        <w:t>TCP套接字是由一个四元组（源IP地址，源端口号，目的IP地址，目的端口号）来标识的。</w:t>
      </w:r>
    </w:p>
    <w:p>
      <w:pPr/>
      <w:bookmarkStart w:name="8578-1572253808354" w:id="29"/>
      <w:bookmarkEnd w:id="29"/>
      <w:r>
        <w:rPr/>
        <w:t>服务器主机可以支持很多并行的TCP套接字，每个套接字与一个进程相联系，并由其四元组来标识每个套接字。当一个TCP报文段（segment）到达主机时，四元组被用来将报文段定向（分解）到相应的套接字。</w:t>
      </w:r>
    </w:p>
    <w:p>
      <w:pPr/>
      <w:bookmarkStart w:name="8997-1572253928525" w:id="30"/>
      <w:bookmarkEnd w:id="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2020-02-08T08:59:38Z</dcterms:created>
  <dc:creator>Apache POI</dc:creator>
</cp:coreProperties>
</file>