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DC621" w14:textId="77777777" w:rsidR="00387020" w:rsidRPr="00387020" w:rsidRDefault="00387020" w:rsidP="00387020">
      <w:r w:rsidRPr="00387020">
        <w:rPr>
          <w:b/>
          <w:bCs/>
        </w:rPr>
        <w:t>The Sovereign Triad: A Philosophical Framework for Anti-Fragile Social Architectures</w:t>
      </w:r>
    </w:p>
    <w:p w14:paraId="02D6E776" w14:textId="77777777" w:rsidR="00387020" w:rsidRPr="00387020" w:rsidRDefault="00387020" w:rsidP="00387020">
      <w:r w:rsidRPr="00387020">
        <w:rPr>
          <w:b/>
          <w:bCs/>
        </w:rPr>
        <w:t>Abstract:</w:t>
      </w:r>
      <w:r w:rsidRPr="00387020">
        <w:t> The Sovereign Triad proposes a meta-philosophical framework for constructing social systems that are inherently anti-fragile, ethically grounded, and dynamically adaptive. It posits that a society's resilience is a function of its fidelity to three interdependent pillars—</w:t>
      </w:r>
      <w:r w:rsidRPr="00387020">
        <w:rPr>
          <w:b/>
          <w:bCs/>
        </w:rPr>
        <w:t>Truth, Wisdom, and Humanity</w:t>
      </w:r>
      <w:r w:rsidRPr="00387020">
        <w:t>—operationalized through a recursive feedback mechanism and a higher-order self-correction process. This paper delineates the framework's ontological foundations, its epistemological mechanics, and its axiological commitments.</w:t>
      </w:r>
    </w:p>
    <w:p w14:paraId="097A5CEF" w14:textId="77777777" w:rsidR="00387020" w:rsidRPr="00387020" w:rsidRDefault="00387020" w:rsidP="00387020">
      <w:r w:rsidRPr="00387020">
        <w:pict w14:anchorId="0CE9C315">
          <v:rect id="_x0000_i1025" style="width:0;height:.75pt" o:hralign="center" o:hrstd="t" o:hrnoshade="t" o:hr="t" fillcolor="#f8faff" stroked="f"/>
        </w:pict>
      </w:r>
    </w:p>
    <w:p w14:paraId="364BDFBE" w14:textId="77777777" w:rsidR="00387020" w:rsidRPr="00387020" w:rsidRDefault="00387020" w:rsidP="00387020">
      <w:r w:rsidRPr="00387020">
        <w:rPr>
          <w:b/>
          <w:bCs/>
        </w:rPr>
        <w:t>I. Ontological Foundation: The Triadic Leverage Principle</w:t>
      </w:r>
    </w:p>
    <w:p w14:paraId="17D35F39" w14:textId="77777777" w:rsidR="00387020" w:rsidRPr="00387020" w:rsidRDefault="00387020" w:rsidP="00387020">
      <w:r w:rsidRPr="00387020">
        <w:t>At its core, the Triad is predicated on a specific ontological claim about complexity: that systems of high complexity can be most effectively understood and influenced through triadic structures. This is not merely a rhetorical device but a cognitive and operational heuristic.</w:t>
      </w:r>
    </w:p>
    <w:p w14:paraId="22F8C4C8" w14:textId="77777777" w:rsidR="00387020" w:rsidRPr="00387020" w:rsidRDefault="00387020" w:rsidP="00387020">
      <w:pPr>
        <w:numPr>
          <w:ilvl w:val="0"/>
          <w:numId w:val="1"/>
        </w:numPr>
      </w:pPr>
      <w:r w:rsidRPr="00387020">
        <w:rPr>
          <w:b/>
          <w:bCs/>
        </w:rPr>
        <w:t>Theoretical Precedent:</w:t>
      </w:r>
      <w:r w:rsidRPr="00387020">
        <w:t> This draws from Hegelian dialectics (Thesis-Antithesis-Synthesis), Charles Sanders Peirce's semiotic triad, and the fundamental structure of logic (Premise-Inference-Conclusion). The Triad argues that such structures are fundamental to human cognition and thus should be fundamental to human system design.</w:t>
      </w:r>
    </w:p>
    <w:p w14:paraId="3CA1F38A" w14:textId="77777777" w:rsidR="00387020" w:rsidRPr="00387020" w:rsidRDefault="00387020" w:rsidP="00387020">
      <w:pPr>
        <w:numPr>
          <w:ilvl w:val="0"/>
          <w:numId w:val="1"/>
        </w:numPr>
      </w:pPr>
      <w:r w:rsidRPr="00387020">
        <w:rPr>
          <w:b/>
          <w:bCs/>
        </w:rPr>
        <w:t>Operationalization:</w:t>
      </w:r>
      <w:r w:rsidRPr="00387020">
        <w:t> The Leverage Principle asserts that by intentionally adjusting one element of any triad, the dynamics and relationships between all three are revealed and can be steered. This makes the framework a practical tool for intervention, not just analysis.</w:t>
      </w:r>
    </w:p>
    <w:p w14:paraId="2C08C888" w14:textId="77777777" w:rsidR="00387020" w:rsidRPr="00387020" w:rsidRDefault="00387020" w:rsidP="00387020">
      <w:r w:rsidRPr="00387020">
        <w:rPr>
          <w:b/>
          <w:bCs/>
        </w:rPr>
        <w:t>II. The Axiological Core: The Immutable Pillars</w:t>
      </w:r>
    </w:p>
    <w:p w14:paraId="6801C340" w14:textId="77777777" w:rsidR="00387020" w:rsidRPr="00387020" w:rsidRDefault="00387020" w:rsidP="00387020">
      <w:r w:rsidRPr="00387020">
        <w:t>The Triad establishes a three-pillar value system that serves as the non-negotiable ethical foundation for all subsequent systems. These pillars are hierarchically ordered and lexically prior to any legislation or policy.</w:t>
      </w:r>
    </w:p>
    <w:p w14:paraId="26AC50C8" w14:textId="77777777" w:rsidR="00387020" w:rsidRPr="00387020" w:rsidRDefault="00387020" w:rsidP="00387020">
      <w:pPr>
        <w:numPr>
          <w:ilvl w:val="0"/>
          <w:numId w:val="2"/>
        </w:numPr>
      </w:pPr>
      <w:r w:rsidRPr="00387020">
        <w:rPr>
          <w:b/>
          <w:bCs/>
        </w:rPr>
        <w:t>Truth (The Epistemological Pillar):</w:t>
      </w:r>
    </w:p>
    <w:p w14:paraId="3BA3DD07" w14:textId="77777777" w:rsidR="00387020" w:rsidRPr="00387020" w:rsidRDefault="00387020" w:rsidP="00387020">
      <w:pPr>
        <w:numPr>
          <w:ilvl w:val="1"/>
          <w:numId w:val="2"/>
        </w:numPr>
      </w:pPr>
      <w:r w:rsidRPr="00387020">
        <w:rPr>
          <w:b/>
          <w:bCs/>
        </w:rPr>
        <w:t>Definition:</w:t>
      </w:r>
      <w:r w:rsidRPr="00387020">
        <w:t xml:space="preserve"> The commitment to correspondence theory and </w:t>
      </w:r>
      <w:proofErr w:type="spellStart"/>
      <w:r w:rsidRPr="00387020">
        <w:t>coherentist</w:t>
      </w:r>
      <w:proofErr w:type="spellEnd"/>
      <w:r w:rsidRPr="00387020">
        <w:t xml:space="preserve"> models of verifiable reality. It is a radical empiricism applied to governance.</w:t>
      </w:r>
    </w:p>
    <w:p w14:paraId="18631D41" w14:textId="77777777" w:rsidR="00387020" w:rsidRPr="00387020" w:rsidRDefault="00387020" w:rsidP="00387020">
      <w:pPr>
        <w:numPr>
          <w:ilvl w:val="1"/>
          <w:numId w:val="2"/>
        </w:numPr>
      </w:pPr>
      <w:r w:rsidRPr="00387020">
        <w:rPr>
          <w:b/>
          <w:bCs/>
        </w:rPr>
        <w:t>Function:</w:t>
      </w:r>
      <w:r w:rsidRPr="00387020">
        <w:t> Serves as the system's error-correction mechanism. Any claim, policy, or law must be justifiable through falsifiable evidence and logical coherence. It is the antidote to ideology, dogma, and post-truth politics.</w:t>
      </w:r>
    </w:p>
    <w:p w14:paraId="2D65F392" w14:textId="77777777" w:rsidR="00387020" w:rsidRPr="00387020" w:rsidRDefault="00387020" w:rsidP="00387020">
      <w:pPr>
        <w:numPr>
          <w:ilvl w:val="1"/>
          <w:numId w:val="2"/>
        </w:numPr>
      </w:pPr>
      <w:r w:rsidRPr="00387020">
        <w:rPr>
          <w:b/>
          <w:bCs/>
        </w:rPr>
        <w:lastRenderedPageBreak/>
        <w:t>Philosophical Anchor:</w:t>
      </w:r>
      <w:r w:rsidRPr="00387020">
        <w:t> Rooted in the traditions of the Enlightenment, scientific realism, and critical rationalism (Popper).</w:t>
      </w:r>
    </w:p>
    <w:p w14:paraId="3B3E0147" w14:textId="77777777" w:rsidR="00387020" w:rsidRPr="00387020" w:rsidRDefault="00387020" w:rsidP="00387020">
      <w:pPr>
        <w:numPr>
          <w:ilvl w:val="0"/>
          <w:numId w:val="2"/>
        </w:numPr>
      </w:pPr>
      <w:r w:rsidRPr="00387020">
        <w:rPr>
          <w:b/>
          <w:bCs/>
        </w:rPr>
        <w:t>Wisdom (The Teleological Pillar):</w:t>
      </w:r>
    </w:p>
    <w:p w14:paraId="54C3E772" w14:textId="77777777" w:rsidR="00387020" w:rsidRPr="00387020" w:rsidRDefault="00387020" w:rsidP="00387020">
      <w:pPr>
        <w:numPr>
          <w:ilvl w:val="1"/>
          <w:numId w:val="2"/>
        </w:numPr>
      </w:pPr>
      <w:r w:rsidRPr="00387020">
        <w:rPr>
          <w:b/>
          <w:bCs/>
        </w:rPr>
        <w:t>Definition:</w:t>
      </w:r>
      <w:r w:rsidRPr="00387020">
        <w:t> The virtue of phronesis (practical wisdom)—the capacity to translate knowledge into ethical and effective action within a specific context.</w:t>
      </w:r>
    </w:p>
    <w:p w14:paraId="7A92D468" w14:textId="77777777" w:rsidR="00387020" w:rsidRPr="00387020" w:rsidRDefault="00387020" w:rsidP="00387020">
      <w:pPr>
        <w:numPr>
          <w:ilvl w:val="1"/>
          <w:numId w:val="2"/>
        </w:numPr>
      </w:pPr>
      <w:r w:rsidRPr="00387020">
        <w:rPr>
          <w:b/>
          <w:bCs/>
        </w:rPr>
        <w:t>Function:</w:t>
      </w:r>
      <w:r w:rsidRPr="00387020">
        <w:t> Acts as the bridge between </w:t>
      </w:r>
      <w:r w:rsidRPr="00387020">
        <w:rPr>
          <w:i/>
          <w:iCs/>
        </w:rPr>
        <w:t>is</w:t>
      </w:r>
      <w:r w:rsidRPr="00387020">
        <w:t> and </w:t>
      </w:r>
      <w:r w:rsidRPr="00387020">
        <w:rPr>
          <w:i/>
          <w:iCs/>
        </w:rPr>
        <w:t>ought</w:t>
      </w:r>
      <w:r w:rsidRPr="00387020">
        <w:t>. It prevents the naive misapplication of truth (e.g., a scientifically efficient solution that is morally reprehensible). It is the governing principle for the application of power.</w:t>
      </w:r>
    </w:p>
    <w:p w14:paraId="6DEB8B5F" w14:textId="77777777" w:rsidR="00387020" w:rsidRPr="00387020" w:rsidRDefault="00387020" w:rsidP="00387020">
      <w:pPr>
        <w:numPr>
          <w:ilvl w:val="1"/>
          <w:numId w:val="2"/>
        </w:numPr>
      </w:pPr>
      <w:r w:rsidRPr="00387020">
        <w:rPr>
          <w:b/>
          <w:bCs/>
        </w:rPr>
        <w:t>Philosophical Anchor:</w:t>
      </w:r>
      <w:r w:rsidRPr="00387020">
        <w:t> Draws from Aristotelian virtue ethics, pragmatism (James, Dewey), and hermeneutics.</w:t>
      </w:r>
    </w:p>
    <w:p w14:paraId="004EA371" w14:textId="77777777" w:rsidR="00387020" w:rsidRPr="00387020" w:rsidRDefault="00387020" w:rsidP="00387020">
      <w:pPr>
        <w:numPr>
          <w:ilvl w:val="0"/>
          <w:numId w:val="2"/>
        </w:numPr>
      </w:pPr>
      <w:r w:rsidRPr="00387020">
        <w:rPr>
          <w:b/>
          <w:bCs/>
        </w:rPr>
        <w:t>Humanity (The Axiological Pillar):</w:t>
      </w:r>
    </w:p>
    <w:p w14:paraId="63E0D720" w14:textId="77777777" w:rsidR="00387020" w:rsidRPr="00387020" w:rsidRDefault="00387020" w:rsidP="00387020">
      <w:pPr>
        <w:numPr>
          <w:ilvl w:val="1"/>
          <w:numId w:val="2"/>
        </w:numPr>
      </w:pPr>
      <w:r w:rsidRPr="00387020">
        <w:rPr>
          <w:b/>
          <w:bCs/>
        </w:rPr>
        <w:t>Definition:</w:t>
      </w:r>
      <w:r w:rsidRPr="00387020">
        <w:t xml:space="preserve"> The principle that the ultimate end of all </w:t>
      </w:r>
      <w:proofErr w:type="gramStart"/>
      <w:r w:rsidRPr="00387020">
        <w:t>action</w:t>
      </w:r>
      <w:proofErr w:type="gramEnd"/>
      <w:r w:rsidRPr="00387020">
        <w:t xml:space="preserve"> is the enhancement of human dignity, agency, and flourishing (eudaimonia).</w:t>
      </w:r>
    </w:p>
    <w:p w14:paraId="43A9E5DB" w14:textId="77777777" w:rsidR="00387020" w:rsidRPr="00387020" w:rsidRDefault="00387020" w:rsidP="00387020">
      <w:pPr>
        <w:numPr>
          <w:ilvl w:val="1"/>
          <w:numId w:val="2"/>
        </w:numPr>
      </w:pPr>
      <w:r w:rsidRPr="00387020">
        <w:rPr>
          <w:b/>
          <w:bCs/>
        </w:rPr>
        <w:t>Function:</w:t>
      </w:r>
      <w:r w:rsidRPr="00387020">
        <w:t> Serves as the system's ultimate purpose and moral compass. It provides the "why" against which all "</w:t>
      </w:r>
      <w:proofErr w:type="spellStart"/>
      <w:r w:rsidRPr="00387020">
        <w:t>hows</w:t>
      </w:r>
      <w:proofErr w:type="spellEnd"/>
      <w:r w:rsidRPr="00387020">
        <w:t>" and "</w:t>
      </w:r>
      <w:proofErr w:type="spellStart"/>
      <w:r w:rsidRPr="00387020">
        <w:t>whats</w:t>
      </w:r>
      <w:proofErr w:type="spellEnd"/>
      <w:r w:rsidRPr="00387020">
        <w:t>" are measured. It is a check against purely utilitarian or technocratic excess.</w:t>
      </w:r>
    </w:p>
    <w:p w14:paraId="67E3D4C1" w14:textId="77777777" w:rsidR="00387020" w:rsidRPr="00387020" w:rsidRDefault="00387020" w:rsidP="00387020">
      <w:pPr>
        <w:numPr>
          <w:ilvl w:val="1"/>
          <w:numId w:val="2"/>
        </w:numPr>
      </w:pPr>
      <w:r w:rsidRPr="00387020">
        <w:rPr>
          <w:b/>
          <w:bCs/>
        </w:rPr>
        <w:t>Philosophical Anchor:</w:t>
      </w:r>
      <w:r w:rsidRPr="00387020">
        <w:t> Informed by Kantian deontology (humanity as an end-in-itself), capabilities approach (Nussbaum, Sen), and humanistic psychology.</w:t>
      </w:r>
    </w:p>
    <w:p w14:paraId="2A65D3EB" w14:textId="77777777" w:rsidR="00387020" w:rsidRPr="00387020" w:rsidRDefault="00387020" w:rsidP="00387020">
      <w:r w:rsidRPr="00387020">
        <w:rPr>
          <w:b/>
          <w:bCs/>
        </w:rPr>
        <w:t>The Golden Rule ("Thou shalt not infringe"):</w:t>
      </w:r>
      <w:r w:rsidRPr="00387020">
        <w:t> This is derived as the foundational ethical axiom. It is the simplest possible rule that, if universally applied, preserves the conditions for all three pillars to function. It is the moral equivalent of a mathematical axiom.</w:t>
      </w:r>
    </w:p>
    <w:p w14:paraId="1F7FB61D" w14:textId="77777777" w:rsidR="00387020" w:rsidRPr="00387020" w:rsidRDefault="00387020" w:rsidP="00387020">
      <w:r w:rsidRPr="00387020">
        <w:rPr>
          <w:b/>
          <w:bCs/>
        </w:rPr>
        <w:t>III. The Epistemological Engine: Operationalization and Meta-Governing</w:t>
      </w:r>
    </w:p>
    <w:p w14:paraId="017A44EA" w14:textId="77777777" w:rsidR="00387020" w:rsidRPr="00387020" w:rsidRDefault="00387020" w:rsidP="00387020">
      <w:r w:rsidRPr="00387020">
        <w:t>The framework's innovation lies in its procedural machinery for realizing its axiological core.</w:t>
      </w:r>
    </w:p>
    <w:p w14:paraId="4AB27855" w14:textId="77777777" w:rsidR="00387020" w:rsidRPr="00387020" w:rsidRDefault="00387020" w:rsidP="00387020">
      <w:pPr>
        <w:numPr>
          <w:ilvl w:val="0"/>
          <w:numId w:val="3"/>
        </w:numPr>
      </w:pPr>
      <w:r w:rsidRPr="00387020">
        <w:rPr>
          <w:b/>
          <w:bCs/>
        </w:rPr>
        <w:t>The Feedback Loop (Act -&gt; Measure -&gt; Learn -&gt; Adapt):</w:t>
      </w:r>
    </w:p>
    <w:p w14:paraId="3BBF3EFB" w14:textId="77777777" w:rsidR="00387020" w:rsidRPr="00387020" w:rsidRDefault="00387020" w:rsidP="00387020">
      <w:pPr>
        <w:numPr>
          <w:ilvl w:val="1"/>
          <w:numId w:val="3"/>
        </w:numPr>
      </w:pPr>
      <w:r w:rsidRPr="00387020">
        <w:t>This is the application of the scientific method and cybernetic principles to governance. It rejects top-down, static planning in favor of iterative, evidence-based policy formation.</w:t>
      </w:r>
    </w:p>
    <w:p w14:paraId="32DFE9EB" w14:textId="77777777" w:rsidR="00387020" w:rsidRPr="00387020" w:rsidRDefault="00387020" w:rsidP="00387020">
      <w:pPr>
        <w:numPr>
          <w:ilvl w:val="1"/>
          <w:numId w:val="3"/>
        </w:numPr>
      </w:pPr>
      <w:r w:rsidRPr="00387020">
        <w:lastRenderedPageBreak/>
        <w:t>It institutionalizes a learning mindset, making the system capable of navigating complex, adaptive challenges (Rittel &amp; Webber's "wicked problems").</w:t>
      </w:r>
    </w:p>
    <w:p w14:paraId="531DA1D4" w14:textId="77777777" w:rsidR="00387020" w:rsidRPr="00387020" w:rsidRDefault="00387020" w:rsidP="00387020">
      <w:pPr>
        <w:numPr>
          <w:ilvl w:val="0"/>
          <w:numId w:val="3"/>
        </w:numPr>
      </w:pPr>
      <w:r w:rsidRPr="00387020">
        <w:rPr>
          <w:b/>
          <w:bCs/>
        </w:rPr>
        <w:t xml:space="preserve">The </w:t>
      </w:r>
      <w:proofErr w:type="gramStart"/>
      <w:r w:rsidRPr="00387020">
        <w:rPr>
          <w:b/>
          <w:bCs/>
        </w:rPr>
        <w:t>Meta-Monitor</w:t>
      </w:r>
      <w:proofErr w:type="gramEnd"/>
      <w:r w:rsidRPr="00387020">
        <w:rPr>
          <w:b/>
          <w:bCs/>
        </w:rPr>
        <w:t>:</w:t>
      </w:r>
    </w:p>
    <w:p w14:paraId="32D62A77" w14:textId="77777777" w:rsidR="00387020" w:rsidRPr="00387020" w:rsidRDefault="00387020" w:rsidP="00387020">
      <w:pPr>
        <w:numPr>
          <w:ilvl w:val="1"/>
          <w:numId w:val="3"/>
        </w:numPr>
      </w:pPr>
      <w:r w:rsidRPr="00387020">
        <w:t>This is a second-order cybernetic process. Its function is to audit the system itself—including the Feedback Loops—for divergence from the three pillars.</w:t>
      </w:r>
    </w:p>
    <w:p w14:paraId="5D27F903" w14:textId="77777777" w:rsidR="00387020" w:rsidRPr="00387020" w:rsidRDefault="00387020" w:rsidP="00387020">
      <w:pPr>
        <w:numPr>
          <w:ilvl w:val="1"/>
          <w:numId w:val="3"/>
        </w:numPr>
      </w:pPr>
      <w:r w:rsidRPr="00387020">
        <w:t>It addresses the universal failure mode of systems: goal displacement, where institutions prioritize their own survival over their founding mission. It is the framework's immune system against institutional decay and corruption.</w:t>
      </w:r>
    </w:p>
    <w:p w14:paraId="6188C380" w14:textId="77777777" w:rsidR="00387020" w:rsidRPr="00387020" w:rsidRDefault="00387020" w:rsidP="00387020">
      <w:pPr>
        <w:numPr>
          <w:ilvl w:val="0"/>
          <w:numId w:val="3"/>
        </w:numPr>
      </w:pPr>
      <w:r w:rsidRPr="00387020">
        <w:rPr>
          <w:b/>
          <w:bCs/>
        </w:rPr>
        <w:t>Empowered Agency &amp; The Entity-Based Social Contract:</w:t>
      </w:r>
    </w:p>
    <w:p w14:paraId="56C0F66A" w14:textId="77777777" w:rsidR="00387020" w:rsidRPr="00387020" w:rsidRDefault="00387020" w:rsidP="00387020">
      <w:pPr>
        <w:numPr>
          <w:ilvl w:val="1"/>
          <w:numId w:val="3"/>
        </w:numPr>
      </w:pPr>
      <w:r w:rsidRPr="00387020">
        <w:t>This moves beyond the Hobbesian/</w:t>
      </w:r>
      <w:proofErr w:type="spellStart"/>
      <w:r w:rsidRPr="00387020">
        <w:t>Rousseauian</w:t>
      </w:r>
      <w:proofErr w:type="spellEnd"/>
      <w:r w:rsidRPr="00387020">
        <w:t xml:space="preserve"> concept of a static social contract. The contract is re-framed as a shared cognitive entity that requires active stewardship.</w:t>
      </w:r>
    </w:p>
    <w:p w14:paraId="43BA3672" w14:textId="77777777" w:rsidR="00387020" w:rsidRPr="00387020" w:rsidRDefault="00387020" w:rsidP="00387020">
      <w:pPr>
        <w:numPr>
          <w:ilvl w:val="1"/>
          <w:numId w:val="3"/>
        </w:numPr>
      </w:pPr>
      <w:r w:rsidRPr="00387020">
        <w:t>The goal of making citizens "just smart enough to be dangerous" is a commitment to radical civic education, fostering critical thinking and moral reasoning to prevent authoritarian capture and foster bottom-up resilience.</w:t>
      </w:r>
    </w:p>
    <w:p w14:paraId="59C78981" w14:textId="77777777" w:rsidR="00387020" w:rsidRPr="00387020" w:rsidRDefault="00387020" w:rsidP="00387020">
      <w:r w:rsidRPr="00387020">
        <w:rPr>
          <w:b/>
          <w:bCs/>
        </w:rPr>
        <w:t>IV. The Cultural-Paradigmatic Shift</w:t>
      </w:r>
    </w:p>
    <w:p w14:paraId="56F30EC0" w14:textId="77777777" w:rsidR="00387020" w:rsidRPr="00387020" w:rsidRDefault="00387020" w:rsidP="00387020">
      <w:r w:rsidRPr="00387020">
        <w:t>The framework necessitates a fundamental rescripting of individual and collective identity.</w:t>
      </w:r>
    </w:p>
    <w:p w14:paraId="4589C360" w14:textId="77777777" w:rsidR="00387020" w:rsidRPr="00387020" w:rsidRDefault="00387020" w:rsidP="00387020">
      <w:pPr>
        <w:numPr>
          <w:ilvl w:val="0"/>
          <w:numId w:val="4"/>
        </w:numPr>
      </w:pPr>
      <w:proofErr w:type="gramStart"/>
      <w:r w:rsidRPr="00387020">
        <w:rPr>
          <w:b/>
          <w:bCs/>
        </w:rPr>
        <w:t>The Human</w:t>
      </w:r>
      <w:proofErr w:type="gramEnd"/>
      <w:r w:rsidRPr="00387020">
        <w:rPr>
          <w:b/>
          <w:bCs/>
        </w:rPr>
        <w:t xml:space="preserve"> Mandate ("Good HUMAN &gt; Good Citizen"):</w:t>
      </w:r>
    </w:p>
    <w:p w14:paraId="51191BBB" w14:textId="77777777" w:rsidR="00387020" w:rsidRPr="00387020" w:rsidRDefault="00387020" w:rsidP="00387020">
      <w:pPr>
        <w:numPr>
          <w:ilvl w:val="1"/>
          <w:numId w:val="4"/>
        </w:numPr>
      </w:pPr>
      <w:r w:rsidRPr="00387020">
        <w:t>This is a direct challenge to Hegelian state-centricity and nationalist paradigms. It posits that primary ethical allegiance must be to universal principles (the Triad) rather than to a particular political apparatus.</w:t>
      </w:r>
    </w:p>
    <w:p w14:paraId="4B49B750" w14:textId="77777777" w:rsidR="00387020" w:rsidRPr="00387020" w:rsidRDefault="00387020" w:rsidP="00387020">
      <w:pPr>
        <w:numPr>
          <w:ilvl w:val="1"/>
          <w:numId w:val="4"/>
        </w:numPr>
      </w:pPr>
      <w:r w:rsidRPr="00387020">
        <w:t>It creates a built-in resistance to totalitarianism by legitimizing dissent based on principled adherence to the framework itself.</w:t>
      </w:r>
    </w:p>
    <w:p w14:paraId="660A64DB" w14:textId="77777777" w:rsidR="00387020" w:rsidRPr="00387020" w:rsidRDefault="00387020" w:rsidP="00387020">
      <w:pPr>
        <w:numPr>
          <w:ilvl w:val="0"/>
          <w:numId w:val="4"/>
        </w:numPr>
      </w:pPr>
      <w:r w:rsidRPr="00387020">
        <w:rPr>
          <w:b/>
          <w:bCs/>
        </w:rPr>
        <w:t>The Economic Shift:</w:t>
      </w:r>
    </w:p>
    <w:p w14:paraId="37CC1BDF" w14:textId="77777777" w:rsidR="00387020" w:rsidRPr="00387020" w:rsidRDefault="00387020" w:rsidP="00387020">
      <w:pPr>
        <w:numPr>
          <w:ilvl w:val="1"/>
          <w:numId w:val="4"/>
        </w:numPr>
      </w:pPr>
      <w:r w:rsidRPr="00387020">
        <w:t xml:space="preserve">By guaranteeing base needs, the framework seeks to achieve </w:t>
      </w:r>
      <w:proofErr w:type="gramStart"/>
      <w:r w:rsidRPr="00387020">
        <w:t xml:space="preserve">a </w:t>
      </w:r>
      <w:proofErr w:type="spellStart"/>
      <w:r w:rsidRPr="00387020">
        <w:t>Maslowian</w:t>
      </w:r>
      <w:proofErr w:type="spellEnd"/>
      <w:proofErr w:type="gramEnd"/>
      <w:r w:rsidRPr="00387020">
        <w:t xml:space="preserve"> liberation of human potential. It recognizes that creativity, civic participation, and ethical behavior are luxuries often impossible under conditions of scarcity and "transactional necessity."</w:t>
      </w:r>
    </w:p>
    <w:p w14:paraId="2C560C96" w14:textId="77777777" w:rsidR="00387020" w:rsidRPr="00387020" w:rsidRDefault="00387020" w:rsidP="00387020">
      <w:pPr>
        <w:numPr>
          <w:ilvl w:val="1"/>
          <w:numId w:val="4"/>
        </w:numPr>
      </w:pPr>
      <w:r w:rsidRPr="00387020">
        <w:lastRenderedPageBreak/>
        <w:t>This is a pragmatic necessity for achieving the level of engagement the "Entity-Based Contract" requires.</w:t>
      </w:r>
    </w:p>
    <w:p w14:paraId="7C2D9069" w14:textId="77777777" w:rsidR="00387020" w:rsidRPr="00387020" w:rsidRDefault="00387020" w:rsidP="00387020">
      <w:r w:rsidRPr="00387020">
        <w:rPr>
          <w:b/>
          <w:bCs/>
        </w:rPr>
        <w:t>V. Critical Analysis and Potential Points of Failure</w:t>
      </w:r>
    </w:p>
    <w:p w14:paraId="7B09F5A4" w14:textId="77777777" w:rsidR="00387020" w:rsidRPr="00387020" w:rsidRDefault="00387020" w:rsidP="00387020">
      <w:r w:rsidRPr="00387020">
        <w:t>A professional presentation must acknowledge the framework's own vulnerabilities:</w:t>
      </w:r>
    </w:p>
    <w:p w14:paraId="48218B30" w14:textId="77777777" w:rsidR="00387020" w:rsidRPr="00387020" w:rsidRDefault="00387020" w:rsidP="00387020">
      <w:pPr>
        <w:numPr>
          <w:ilvl w:val="0"/>
          <w:numId w:val="5"/>
        </w:numPr>
      </w:pPr>
      <w:r w:rsidRPr="00387020">
        <w:rPr>
          <w:b/>
          <w:bCs/>
        </w:rPr>
        <w:t>The Measurement Problem:</w:t>
      </w:r>
      <w:r w:rsidRPr="00387020">
        <w:t> Can concepts like "Wisdom" and "Human Flourishing" be operationalized into measurable metrics without reducing them to crude proxies (e.g., equating flourishing with GDP)?</w:t>
      </w:r>
    </w:p>
    <w:p w14:paraId="49E59EF5" w14:textId="77777777" w:rsidR="00387020" w:rsidRPr="00387020" w:rsidRDefault="00387020" w:rsidP="00387020">
      <w:pPr>
        <w:numPr>
          <w:ilvl w:val="0"/>
          <w:numId w:val="5"/>
        </w:numPr>
      </w:pPr>
      <w:r w:rsidRPr="00387020">
        <w:rPr>
          <w:b/>
          <w:bCs/>
        </w:rPr>
        <w:t>The Meta-Monitor's Recursion:</w:t>
      </w:r>
      <w:r w:rsidRPr="00387020">
        <w:t> How does the Meta-Monitor guard against its own corruption? This is an unsolved problem in all systems (</w:t>
      </w:r>
      <w:proofErr w:type="spellStart"/>
      <w:r w:rsidRPr="00387020">
        <w:t>quis</w:t>
      </w:r>
      <w:proofErr w:type="spellEnd"/>
      <w:r w:rsidRPr="00387020">
        <w:t xml:space="preserve"> </w:t>
      </w:r>
      <w:proofErr w:type="spellStart"/>
      <w:r w:rsidRPr="00387020">
        <w:t>custodiet</w:t>
      </w:r>
      <w:proofErr w:type="spellEnd"/>
      <w:r w:rsidRPr="00387020">
        <w:t xml:space="preserve"> </w:t>
      </w:r>
      <w:proofErr w:type="spellStart"/>
      <w:r w:rsidRPr="00387020">
        <w:t>ipsos</w:t>
      </w:r>
      <w:proofErr w:type="spellEnd"/>
      <w:r w:rsidRPr="00387020">
        <w:t xml:space="preserve"> custodes?).</w:t>
      </w:r>
    </w:p>
    <w:p w14:paraId="090FF3C6" w14:textId="77777777" w:rsidR="00387020" w:rsidRPr="00387020" w:rsidRDefault="00387020" w:rsidP="00387020">
      <w:pPr>
        <w:numPr>
          <w:ilvl w:val="0"/>
          <w:numId w:val="5"/>
        </w:numPr>
      </w:pPr>
      <w:r w:rsidRPr="00387020">
        <w:rPr>
          <w:b/>
          <w:bCs/>
        </w:rPr>
        <w:t>The Transition Problem:</w:t>
      </w:r>
      <w:r w:rsidRPr="00387020">
        <w:t> The path from current systems to this model is arguably the greatest challenge, involving a fundamental reconfiguration of power, economics, and human motivation.</w:t>
      </w:r>
    </w:p>
    <w:p w14:paraId="4407B371" w14:textId="77777777" w:rsidR="00387020" w:rsidRPr="00387020" w:rsidRDefault="00387020" w:rsidP="00387020">
      <w:pPr>
        <w:numPr>
          <w:ilvl w:val="0"/>
          <w:numId w:val="5"/>
        </w:numPr>
      </w:pPr>
      <w:r w:rsidRPr="00387020">
        <w:rPr>
          <w:b/>
          <w:bCs/>
        </w:rPr>
        <w:t>The Velocity of Threats:</w:t>
      </w:r>
      <w:r w:rsidRPr="00387020">
        <w:t xml:space="preserve"> The iterative, </w:t>
      </w:r>
      <w:proofErr w:type="gramStart"/>
      <w:r w:rsidRPr="00387020">
        <w:t>deliberative</w:t>
      </w:r>
      <w:proofErr w:type="gramEnd"/>
      <w:r w:rsidRPr="00387020">
        <w:t xml:space="preserve"> nature of the Feedback Loops may be too slow to respond to certain existential or asymmetric threats (e.g., a rapidly evolving pandemic or AI threat).</w:t>
      </w:r>
    </w:p>
    <w:p w14:paraId="767BDEF3" w14:textId="77777777" w:rsidR="00387020" w:rsidRPr="00387020" w:rsidRDefault="00387020" w:rsidP="00387020">
      <w:r w:rsidRPr="00387020">
        <w:rPr>
          <w:b/>
          <w:bCs/>
        </w:rPr>
        <w:t>Conclusion: The Triad as a Generative Framework</w:t>
      </w:r>
    </w:p>
    <w:p w14:paraId="0924F582" w14:textId="77777777" w:rsidR="00387020" w:rsidRPr="00387020" w:rsidRDefault="00387020" w:rsidP="00387020">
      <w:r w:rsidRPr="00387020">
        <w:t>The Sovereign Triad does not propose a utopian end-state. Instead, it offers a </w:t>
      </w:r>
      <w:r w:rsidRPr="00387020">
        <w:rPr>
          <w:b/>
          <w:bCs/>
        </w:rPr>
        <w:t>generative framework</w:t>
      </w:r>
      <w:r w:rsidRPr="00387020">
        <w:t>—a philosophical operating system—for building societies that are capable of continuous ethical progression.</w:t>
      </w:r>
    </w:p>
    <w:p w14:paraId="69EB3EFC" w14:textId="77777777" w:rsidR="00387020" w:rsidRPr="00387020" w:rsidRDefault="00387020" w:rsidP="00387020">
      <w:r w:rsidRPr="00387020">
        <w:t xml:space="preserve">Its value to professionals lies in its synthesis of rigorous epistemology, virtue ethics, and complex systems theory into a coherent and actionable architecture. It provides </w:t>
      </w:r>
      <w:proofErr w:type="gramStart"/>
      <w:r w:rsidRPr="00387020">
        <w:t>a robust</w:t>
      </w:r>
      <w:proofErr w:type="gramEnd"/>
      <w:r w:rsidRPr="00387020">
        <w:t xml:space="preserve"> language and a set of mechanisms to address the pervasive challenges of institutional entropy, post-truth politics, and the lack of compelling positive visions for the future.</w:t>
      </w:r>
    </w:p>
    <w:p w14:paraId="00DC43AF" w14:textId="77777777" w:rsidR="00387020" w:rsidRPr="00387020" w:rsidRDefault="00387020" w:rsidP="00387020">
      <w:r w:rsidRPr="00387020">
        <w:t>It is presented not as a final answer, but as a hypothesis: </w:t>
      </w:r>
      <w:r w:rsidRPr="00387020">
        <w:rPr>
          <w:i/>
          <w:iCs/>
        </w:rPr>
        <w:t xml:space="preserve">that a society explicitly designed to pursue Truth with Wisdom for the sake of </w:t>
      </w:r>
      <w:proofErr w:type="gramStart"/>
      <w:r w:rsidRPr="00387020">
        <w:rPr>
          <w:i/>
          <w:iCs/>
        </w:rPr>
        <w:t>Humanity, and</w:t>
      </w:r>
      <w:proofErr w:type="gramEnd"/>
      <w:r w:rsidRPr="00387020">
        <w:rPr>
          <w:i/>
          <w:iCs/>
        </w:rPr>
        <w:t xml:space="preserve"> equipped with the mechanisms to continuously correct its course, will prove more resilient, just, and conducive to flourishing than any system yet conceived.</w:t>
      </w:r>
      <w:r w:rsidRPr="00387020">
        <w:t> The framework itself demands that this hypothesis be tested, measured, and refined.</w:t>
      </w:r>
    </w:p>
    <w:p w14:paraId="50204ACF"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4EB0"/>
    <w:multiLevelType w:val="multilevel"/>
    <w:tmpl w:val="DD1AC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D2ACB"/>
    <w:multiLevelType w:val="multilevel"/>
    <w:tmpl w:val="B238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716EB"/>
    <w:multiLevelType w:val="multilevel"/>
    <w:tmpl w:val="F65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87AAE"/>
    <w:multiLevelType w:val="multilevel"/>
    <w:tmpl w:val="6AC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C6718"/>
    <w:multiLevelType w:val="multilevel"/>
    <w:tmpl w:val="A39C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261728">
    <w:abstractNumId w:val="3"/>
  </w:num>
  <w:num w:numId="2" w16cid:durableId="1821341277">
    <w:abstractNumId w:val="0"/>
  </w:num>
  <w:num w:numId="3" w16cid:durableId="431319491">
    <w:abstractNumId w:val="2"/>
  </w:num>
  <w:num w:numId="4" w16cid:durableId="1687709619">
    <w:abstractNumId w:val="1"/>
  </w:num>
  <w:num w:numId="5" w16cid:durableId="1441291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20"/>
    <w:rsid w:val="00254924"/>
    <w:rsid w:val="00387020"/>
    <w:rsid w:val="007C2D52"/>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7327"/>
  <w15:chartTrackingRefBased/>
  <w15:docId w15:val="{9F432FC5-92A2-4D75-8825-19621072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020"/>
    <w:rPr>
      <w:rFonts w:eastAsiaTheme="majorEastAsia" w:cstheme="majorBidi"/>
      <w:color w:val="272727" w:themeColor="text1" w:themeTint="D8"/>
    </w:rPr>
  </w:style>
  <w:style w:type="paragraph" w:styleId="Title">
    <w:name w:val="Title"/>
    <w:basedOn w:val="Normal"/>
    <w:next w:val="Normal"/>
    <w:link w:val="TitleChar"/>
    <w:uiPriority w:val="10"/>
    <w:qFormat/>
    <w:rsid w:val="00387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020"/>
    <w:pPr>
      <w:spacing w:before="160"/>
      <w:jc w:val="center"/>
    </w:pPr>
    <w:rPr>
      <w:i/>
      <w:iCs/>
      <w:color w:val="404040" w:themeColor="text1" w:themeTint="BF"/>
    </w:rPr>
  </w:style>
  <w:style w:type="character" w:customStyle="1" w:styleId="QuoteChar">
    <w:name w:val="Quote Char"/>
    <w:basedOn w:val="DefaultParagraphFont"/>
    <w:link w:val="Quote"/>
    <w:uiPriority w:val="29"/>
    <w:rsid w:val="00387020"/>
    <w:rPr>
      <w:i/>
      <w:iCs/>
      <w:color w:val="404040" w:themeColor="text1" w:themeTint="BF"/>
    </w:rPr>
  </w:style>
  <w:style w:type="paragraph" w:styleId="ListParagraph">
    <w:name w:val="List Paragraph"/>
    <w:basedOn w:val="Normal"/>
    <w:uiPriority w:val="34"/>
    <w:qFormat/>
    <w:rsid w:val="00387020"/>
    <w:pPr>
      <w:ind w:left="720"/>
      <w:contextualSpacing/>
    </w:pPr>
  </w:style>
  <w:style w:type="character" w:styleId="IntenseEmphasis">
    <w:name w:val="Intense Emphasis"/>
    <w:basedOn w:val="DefaultParagraphFont"/>
    <w:uiPriority w:val="21"/>
    <w:qFormat/>
    <w:rsid w:val="00387020"/>
    <w:rPr>
      <w:i/>
      <w:iCs/>
      <w:color w:val="0F4761" w:themeColor="accent1" w:themeShade="BF"/>
    </w:rPr>
  </w:style>
  <w:style w:type="paragraph" w:styleId="IntenseQuote">
    <w:name w:val="Intense Quote"/>
    <w:basedOn w:val="Normal"/>
    <w:next w:val="Normal"/>
    <w:link w:val="IntenseQuoteChar"/>
    <w:uiPriority w:val="30"/>
    <w:qFormat/>
    <w:rsid w:val="00387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020"/>
    <w:rPr>
      <w:i/>
      <w:iCs/>
      <w:color w:val="0F4761" w:themeColor="accent1" w:themeShade="BF"/>
    </w:rPr>
  </w:style>
  <w:style w:type="character" w:styleId="IntenseReference">
    <w:name w:val="Intense Reference"/>
    <w:basedOn w:val="DefaultParagraphFont"/>
    <w:uiPriority w:val="32"/>
    <w:qFormat/>
    <w:rsid w:val="003870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2025-08-28T16:49:00Z</dcterms:created>
  <dcterms:modified xsi:type="dcterms:W3CDTF">2025-08-28T16:50:00Z</dcterms:modified>
</cp:coreProperties>
</file>